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B3" w:rsidRPr="00355344" w:rsidRDefault="00A503B3" w:rsidP="002A340F">
      <w:pPr>
        <w:pStyle w:val="Halvfet"/>
        <w:ind w:left="708"/>
        <w:outlineLvl w:val="0"/>
        <w:rPr>
          <w:rFonts w:ascii="Times New Roman" w:hAnsi="Times New Roman"/>
          <w:sz w:val="24"/>
          <w:szCs w:val="22"/>
        </w:rPr>
      </w:pPr>
      <w:proofErr w:type="gramStart"/>
      <w:r w:rsidRPr="00355344">
        <w:rPr>
          <w:rFonts w:ascii="Times New Roman" w:hAnsi="Times New Roman"/>
          <w:sz w:val="24"/>
          <w:szCs w:val="22"/>
        </w:rPr>
        <w:t>Til</w:t>
      </w:r>
      <w:r w:rsidRPr="00355344">
        <w:rPr>
          <w:rFonts w:ascii="Times New Roman" w:hAnsi="Times New Roman"/>
          <w:sz w:val="24"/>
        </w:rPr>
        <w:t xml:space="preserve"> </w:t>
      </w:r>
      <w:r w:rsidR="00C75347" w:rsidRPr="00355344">
        <w:rPr>
          <w:rFonts w:ascii="Times New Roman" w:hAnsi="Times New Roman"/>
          <w:sz w:val="24"/>
        </w:rPr>
        <w:t xml:space="preserve"> </w:t>
      </w:r>
      <w:r w:rsidR="00AA02A7" w:rsidRPr="00355344">
        <w:rPr>
          <w:rFonts w:ascii="Times New Roman" w:hAnsi="Times New Roman"/>
          <w:sz w:val="24"/>
        </w:rPr>
        <w:t>S</w:t>
      </w:r>
      <w:r w:rsidRPr="00355344">
        <w:rPr>
          <w:rFonts w:ascii="Times New Roman" w:hAnsi="Times New Roman"/>
          <w:sz w:val="24"/>
          <w:szCs w:val="22"/>
        </w:rPr>
        <w:t>tyret</w:t>
      </w:r>
      <w:proofErr w:type="gramEnd"/>
      <w:r w:rsidR="00AA02A7" w:rsidRPr="00355344">
        <w:rPr>
          <w:rFonts w:ascii="Times New Roman" w:hAnsi="Times New Roman"/>
          <w:sz w:val="24"/>
          <w:szCs w:val="22"/>
        </w:rPr>
        <w:t xml:space="preserve"> ved Norsk senter for menneskerettigheter</w:t>
      </w:r>
    </w:p>
    <w:p w:rsidR="00A503B3" w:rsidRPr="00355344" w:rsidRDefault="00C75347" w:rsidP="002A340F">
      <w:pPr>
        <w:pStyle w:val="Halvfet"/>
        <w:ind w:left="708"/>
        <w:outlineLvl w:val="0"/>
        <w:rPr>
          <w:rFonts w:ascii="Times New Roman" w:hAnsi="Times New Roman"/>
          <w:sz w:val="24"/>
          <w:szCs w:val="22"/>
        </w:rPr>
      </w:pPr>
      <w:r w:rsidRPr="00355344">
        <w:rPr>
          <w:rFonts w:ascii="Times New Roman" w:hAnsi="Times New Roman"/>
          <w:sz w:val="24"/>
          <w:szCs w:val="22"/>
        </w:rPr>
        <w:t>Fra</w:t>
      </w:r>
      <w:r w:rsidRPr="00355344">
        <w:rPr>
          <w:rFonts w:ascii="Times New Roman" w:hAnsi="Times New Roman"/>
          <w:sz w:val="24"/>
        </w:rPr>
        <w:t xml:space="preserve"> </w:t>
      </w:r>
      <w:r w:rsidR="00AA02A7" w:rsidRPr="00355344">
        <w:rPr>
          <w:rFonts w:ascii="Times New Roman" w:hAnsi="Times New Roman"/>
          <w:sz w:val="24"/>
          <w:szCs w:val="22"/>
        </w:rPr>
        <w:t>D</w:t>
      </w:r>
      <w:r w:rsidRPr="00355344">
        <w:rPr>
          <w:rFonts w:ascii="Times New Roman" w:hAnsi="Times New Roman"/>
          <w:sz w:val="24"/>
          <w:szCs w:val="22"/>
        </w:rPr>
        <w:t>irektøren</w:t>
      </w:r>
    </w:p>
    <w:tbl>
      <w:tblPr>
        <w:tblW w:w="5000" w:type="pct"/>
        <w:tblInd w:w="708" w:type="dxa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6559"/>
      </w:tblGrid>
      <w:tr w:rsidR="00A503B3" w:rsidRPr="00355344" w:rsidTr="008A1778">
        <w:tc>
          <w:tcPr>
            <w:tcW w:w="1255" w:type="pct"/>
            <w:tcBorders>
              <w:top w:val="single" w:sz="4" w:space="0" w:color="auto"/>
              <w:bottom w:val="nil"/>
            </w:tcBorders>
          </w:tcPr>
          <w:p w:rsidR="00A503B3" w:rsidRPr="00355344" w:rsidRDefault="00A503B3" w:rsidP="002A340F">
            <w:pPr>
              <w:rPr>
                <w:b/>
                <w:bCs/>
                <w:sz w:val="24"/>
              </w:rPr>
            </w:pPr>
            <w:r w:rsidRPr="00355344">
              <w:rPr>
                <w:b/>
                <w:bCs/>
                <w:sz w:val="24"/>
              </w:rPr>
              <w:t>Sakstype:</w:t>
            </w:r>
            <w:r w:rsidR="008528CF" w:rsidRPr="0035534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745" w:type="pct"/>
            <w:tcBorders>
              <w:top w:val="single" w:sz="4" w:space="0" w:color="auto"/>
              <w:bottom w:val="nil"/>
            </w:tcBorders>
          </w:tcPr>
          <w:p w:rsidR="00A503B3" w:rsidRPr="00355344" w:rsidRDefault="001D3C8E" w:rsidP="002A340F">
            <w:pPr>
              <w:rPr>
                <w:sz w:val="24"/>
                <w:szCs w:val="22"/>
              </w:rPr>
            </w:pPr>
            <w:r w:rsidRPr="00355344">
              <w:rPr>
                <w:sz w:val="24"/>
                <w:szCs w:val="22"/>
              </w:rPr>
              <w:t>Diskusjons-</w:t>
            </w:r>
            <w:r w:rsidR="00355344" w:rsidRPr="00355344">
              <w:rPr>
                <w:sz w:val="24"/>
                <w:szCs w:val="22"/>
              </w:rPr>
              <w:t xml:space="preserve"> </w:t>
            </w:r>
            <w:r w:rsidRPr="00355344">
              <w:rPr>
                <w:sz w:val="24"/>
                <w:szCs w:val="22"/>
              </w:rPr>
              <w:t>og vedtakssak</w:t>
            </w:r>
          </w:p>
        </w:tc>
      </w:tr>
      <w:tr w:rsidR="00A503B3" w:rsidRPr="00355344" w:rsidTr="008A1778">
        <w:tc>
          <w:tcPr>
            <w:tcW w:w="1255" w:type="pct"/>
            <w:tcBorders>
              <w:top w:val="nil"/>
            </w:tcBorders>
          </w:tcPr>
          <w:p w:rsidR="00A503B3" w:rsidRPr="00355344" w:rsidRDefault="00A503B3" w:rsidP="002A340F">
            <w:pPr>
              <w:rPr>
                <w:b/>
                <w:bCs/>
                <w:sz w:val="24"/>
              </w:rPr>
            </w:pPr>
            <w:proofErr w:type="spellStart"/>
            <w:r w:rsidRPr="00355344">
              <w:rPr>
                <w:b/>
                <w:bCs/>
                <w:sz w:val="24"/>
              </w:rPr>
              <w:t>Møtesaksnr</w:t>
            </w:r>
            <w:proofErr w:type="spellEnd"/>
            <w:r w:rsidRPr="00355344">
              <w:rPr>
                <w:b/>
                <w:bCs/>
                <w:sz w:val="24"/>
              </w:rPr>
              <w:t>.:</w:t>
            </w:r>
          </w:p>
        </w:tc>
        <w:tc>
          <w:tcPr>
            <w:tcW w:w="3745" w:type="pct"/>
            <w:tcBorders>
              <w:top w:val="nil"/>
            </w:tcBorders>
          </w:tcPr>
          <w:p w:rsidR="00A503B3" w:rsidRPr="00355344" w:rsidRDefault="0002064E" w:rsidP="002A340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bookmarkStart w:id="0" w:name="_GoBack"/>
            <w:bookmarkEnd w:id="0"/>
            <w:r w:rsidR="00ED2554" w:rsidRPr="00355344">
              <w:rPr>
                <w:sz w:val="24"/>
                <w:szCs w:val="22"/>
              </w:rPr>
              <w:t>/201</w:t>
            </w:r>
            <w:r w:rsidR="00007C57" w:rsidRPr="00355344">
              <w:rPr>
                <w:sz w:val="24"/>
                <w:szCs w:val="22"/>
              </w:rPr>
              <w:t>1</w:t>
            </w:r>
          </w:p>
        </w:tc>
      </w:tr>
      <w:tr w:rsidR="00A503B3" w:rsidRPr="00355344" w:rsidTr="008A1778">
        <w:tc>
          <w:tcPr>
            <w:tcW w:w="1255" w:type="pct"/>
          </w:tcPr>
          <w:p w:rsidR="00A503B3" w:rsidRPr="00355344" w:rsidRDefault="00A503B3" w:rsidP="002A340F">
            <w:pPr>
              <w:rPr>
                <w:b/>
                <w:bCs/>
                <w:sz w:val="24"/>
              </w:rPr>
            </w:pPr>
            <w:proofErr w:type="spellStart"/>
            <w:r w:rsidRPr="00355344">
              <w:rPr>
                <w:b/>
                <w:bCs/>
                <w:sz w:val="24"/>
              </w:rPr>
              <w:t>Møtenr</w:t>
            </w:r>
            <w:proofErr w:type="spellEnd"/>
            <w:r w:rsidRPr="00355344">
              <w:rPr>
                <w:b/>
                <w:bCs/>
                <w:sz w:val="24"/>
              </w:rPr>
              <w:t>.</w:t>
            </w:r>
          </w:p>
        </w:tc>
        <w:tc>
          <w:tcPr>
            <w:tcW w:w="3745" w:type="pct"/>
          </w:tcPr>
          <w:p w:rsidR="00A503B3" w:rsidRPr="00355344" w:rsidRDefault="00220A6B" w:rsidP="00220A6B">
            <w:pPr>
              <w:rPr>
                <w:sz w:val="24"/>
                <w:szCs w:val="22"/>
              </w:rPr>
            </w:pPr>
            <w:r w:rsidRPr="00355344">
              <w:rPr>
                <w:sz w:val="24"/>
                <w:szCs w:val="22"/>
              </w:rPr>
              <w:t>4</w:t>
            </w:r>
            <w:r w:rsidR="00EB0541" w:rsidRPr="00355344">
              <w:rPr>
                <w:sz w:val="24"/>
                <w:szCs w:val="22"/>
              </w:rPr>
              <w:t>/201</w:t>
            </w:r>
            <w:r w:rsidR="00007C57" w:rsidRPr="00355344">
              <w:rPr>
                <w:sz w:val="24"/>
                <w:szCs w:val="22"/>
              </w:rPr>
              <w:t>1</w:t>
            </w:r>
          </w:p>
        </w:tc>
      </w:tr>
      <w:tr w:rsidR="00A503B3" w:rsidRPr="00355344" w:rsidTr="008A1778">
        <w:tc>
          <w:tcPr>
            <w:tcW w:w="1255" w:type="pct"/>
          </w:tcPr>
          <w:p w:rsidR="00A503B3" w:rsidRPr="00355344" w:rsidRDefault="00A503B3" w:rsidP="002A340F">
            <w:pPr>
              <w:rPr>
                <w:b/>
                <w:bCs/>
                <w:sz w:val="24"/>
              </w:rPr>
            </w:pPr>
            <w:r w:rsidRPr="00355344">
              <w:rPr>
                <w:b/>
                <w:bCs/>
                <w:sz w:val="24"/>
              </w:rPr>
              <w:t>Møtedato:</w:t>
            </w:r>
            <w:r w:rsidR="008528CF" w:rsidRPr="0035534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745" w:type="pct"/>
          </w:tcPr>
          <w:p w:rsidR="00A503B3" w:rsidRPr="00355344" w:rsidRDefault="00220A6B" w:rsidP="00220A6B">
            <w:pPr>
              <w:rPr>
                <w:sz w:val="24"/>
                <w:szCs w:val="22"/>
              </w:rPr>
            </w:pPr>
            <w:r w:rsidRPr="00355344">
              <w:rPr>
                <w:sz w:val="24"/>
                <w:szCs w:val="22"/>
              </w:rPr>
              <w:t>26.05</w:t>
            </w:r>
            <w:r w:rsidR="008528CF" w:rsidRPr="00355344">
              <w:rPr>
                <w:sz w:val="24"/>
                <w:szCs w:val="22"/>
              </w:rPr>
              <w:t>.1</w:t>
            </w:r>
            <w:r w:rsidR="00007C57" w:rsidRPr="00355344">
              <w:rPr>
                <w:sz w:val="24"/>
                <w:szCs w:val="22"/>
              </w:rPr>
              <w:t>1</w:t>
            </w:r>
          </w:p>
        </w:tc>
      </w:tr>
      <w:tr w:rsidR="00A503B3" w:rsidRPr="00355344" w:rsidTr="008A1778">
        <w:tc>
          <w:tcPr>
            <w:tcW w:w="1255" w:type="pct"/>
          </w:tcPr>
          <w:p w:rsidR="00A503B3" w:rsidRPr="00355344" w:rsidRDefault="00A503B3" w:rsidP="002A340F">
            <w:pPr>
              <w:rPr>
                <w:b/>
                <w:bCs/>
                <w:sz w:val="24"/>
              </w:rPr>
            </w:pPr>
            <w:r w:rsidRPr="00355344">
              <w:rPr>
                <w:b/>
                <w:bCs/>
                <w:sz w:val="24"/>
              </w:rPr>
              <w:t>Notatdato:</w:t>
            </w:r>
            <w:r w:rsidR="008528CF" w:rsidRPr="00355344">
              <w:rPr>
                <w:b/>
                <w:bCs/>
                <w:sz w:val="24"/>
              </w:rPr>
              <w:t xml:space="preserve">               </w:t>
            </w:r>
          </w:p>
        </w:tc>
        <w:tc>
          <w:tcPr>
            <w:tcW w:w="3745" w:type="pct"/>
          </w:tcPr>
          <w:p w:rsidR="00A503B3" w:rsidRPr="00355344" w:rsidRDefault="00220A6B" w:rsidP="00220A6B">
            <w:pPr>
              <w:rPr>
                <w:sz w:val="24"/>
                <w:szCs w:val="22"/>
              </w:rPr>
            </w:pPr>
            <w:r w:rsidRPr="00355344">
              <w:rPr>
                <w:sz w:val="24"/>
                <w:szCs w:val="22"/>
              </w:rPr>
              <w:t>19</w:t>
            </w:r>
            <w:r w:rsidR="008528CF" w:rsidRPr="00355344">
              <w:rPr>
                <w:sz w:val="24"/>
                <w:szCs w:val="22"/>
              </w:rPr>
              <w:t>.</w:t>
            </w:r>
            <w:r w:rsidR="00007C57" w:rsidRPr="00355344">
              <w:rPr>
                <w:sz w:val="24"/>
                <w:szCs w:val="22"/>
              </w:rPr>
              <w:t>0</w:t>
            </w:r>
            <w:r w:rsidRPr="00355344">
              <w:rPr>
                <w:sz w:val="24"/>
                <w:szCs w:val="22"/>
              </w:rPr>
              <w:t>5</w:t>
            </w:r>
            <w:r w:rsidR="008528CF" w:rsidRPr="00355344">
              <w:rPr>
                <w:sz w:val="24"/>
                <w:szCs w:val="22"/>
              </w:rPr>
              <w:t>.1</w:t>
            </w:r>
            <w:r w:rsidR="00007C57" w:rsidRPr="00355344">
              <w:rPr>
                <w:sz w:val="24"/>
                <w:szCs w:val="22"/>
              </w:rPr>
              <w:t>1</w:t>
            </w:r>
          </w:p>
        </w:tc>
      </w:tr>
      <w:tr w:rsidR="00A503B3" w:rsidRPr="00355344" w:rsidTr="008A1778">
        <w:tc>
          <w:tcPr>
            <w:tcW w:w="1255" w:type="pct"/>
            <w:tcBorders>
              <w:bottom w:val="nil"/>
            </w:tcBorders>
          </w:tcPr>
          <w:p w:rsidR="00A503B3" w:rsidRPr="00355344" w:rsidRDefault="00A503B3" w:rsidP="002A340F">
            <w:pPr>
              <w:rPr>
                <w:b/>
                <w:bCs/>
                <w:sz w:val="24"/>
              </w:rPr>
            </w:pPr>
            <w:proofErr w:type="spellStart"/>
            <w:r w:rsidRPr="00355344">
              <w:rPr>
                <w:b/>
                <w:bCs/>
                <w:sz w:val="24"/>
              </w:rPr>
              <w:t>Arkivsaksnr</w:t>
            </w:r>
            <w:proofErr w:type="spellEnd"/>
            <w:r w:rsidRPr="00355344">
              <w:rPr>
                <w:b/>
                <w:bCs/>
                <w:sz w:val="24"/>
              </w:rPr>
              <w:t>.:</w:t>
            </w:r>
          </w:p>
        </w:tc>
        <w:tc>
          <w:tcPr>
            <w:tcW w:w="3745" w:type="pct"/>
            <w:tcBorders>
              <w:bottom w:val="nil"/>
            </w:tcBorders>
          </w:tcPr>
          <w:p w:rsidR="00A503B3" w:rsidRPr="00355344" w:rsidRDefault="00A503B3" w:rsidP="002A340F">
            <w:pPr>
              <w:rPr>
                <w:sz w:val="24"/>
                <w:szCs w:val="22"/>
              </w:rPr>
            </w:pPr>
          </w:p>
        </w:tc>
      </w:tr>
      <w:tr w:rsidR="00A503B3" w:rsidRPr="00355344" w:rsidTr="008A1778">
        <w:tc>
          <w:tcPr>
            <w:tcW w:w="1255" w:type="pct"/>
          </w:tcPr>
          <w:p w:rsidR="00A503B3" w:rsidRPr="00355344" w:rsidRDefault="00C75347" w:rsidP="002A340F">
            <w:pPr>
              <w:rPr>
                <w:b/>
                <w:bCs/>
                <w:sz w:val="24"/>
                <w:szCs w:val="22"/>
              </w:rPr>
            </w:pPr>
            <w:r w:rsidRPr="00355344">
              <w:rPr>
                <w:b/>
                <w:bCs/>
                <w:sz w:val="24"/>
                <w:szCs w:val="22"/>
              </w:rPr>
              <w:t>Saksbehandler:</w:t>
            </w:r>
            <w:r w:rsidR="008528CF" w:rsidRPr="00355344">
              <w:rPr>
                <w:b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3745" w:type="pct"/>
          </w:tcPr>
          <w:p w:rsidR="00A503B3" w:rsidRPr="00355344" w:rsidRDefault="00CB345F" w:rsidP="002A340F">
            <w:pPr>
              <w:rPr>
                <w:sz w:val="24"/>
                <w:szCs w:val="22"/>
              </w:rPr>
            </w:pPr>
            <w:r w:rsidRPr="00355344">
              <w:rPr>
                <w:sz w:val="24"/>
                <w:szCs w:val="22"/>
              </w:rPr>
              <w:t xml:space="preserve">Nils </w:t>
            </w:r>
            <w:r w:rsidR="00355344" w:rsidRPr="00355344">
              <w:rPr>
                <w:sz w:val="24"/>
                <w:szCs w:val="22"/>
              </w:rPr>
              <w:t xml:space="preserve">A. </w:t>
            </w:r>
            <w:r w:rsidRPr="00355344">
              <w:rPr>
                <w:sz w:val="24"/>
                <w:szCs w:val="22"/>
              </w:rPr>
              <w:t>Butenschøn</w:t>
            </w:r>
          </w:p>
        </w:tc>
      </w:tr>
      <w:tr w:rsidR="00C75347" w:rsidRPr="00355344" w:rsidTr="008A1778">
        <w:tc>
          <w:tcPr>
            <w:tcW w:w="1255" w:type="pct"/>
            <w:tcBorders>
              <w:bottom w:val="single" w:sz="4" w:space="0" w:color="auto"/>
            </w:tcBorders>
          </w:tcPr>
          <w:p w:rsidR="00C75347" w:rsidRPr="00355344" w:rsidRDefault="00C75347" w:rsidP="002A340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3745" w:type="pct"/>
            <w:tcBorders>
              <w:bottom w:val="single" w:sz="4" w:space="0" w:color="auto"/>
            </w:tcBorders>
          </w:tcPr>
          <w:p w:rsidR="00C75347" w:rsidRPr="00355344" w:rsidRDefault="00C75347" w:rsidP="002A340F">
            <w:pPr>
              <w:rPr>
                <w:sz w:val="24"/>
                <w:szCs w:val="22"/>
              </w:rPr>
            </w:pPr>
          </w:p>
        </w:tc>
      </w:tr>
    </w:tbl>
    <w:p w:rsidR="002A340F" w:rsidRPr="00355344" w:rsidRDefault="002A340F" w:rsidP="002A340F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sz w:val="24"/>
        </w:rPr>
      </w:pPr>
    </w:p>
    <w:p w:rsidR="00A503B3" w:rsidRPr="00355344" w:rsidRDefault="00A503B3" w:rsidP="002A340F">
      <w:pPr>
        <w:pStyle w:val="Topptekst"/>
        <w:tabs>
          <w:tab w:val="clear" w:pos="4536"/>
          <w:tab w:val="clear" w:pos="9072"/>
        </w:tabs>
        <w:spacing w:before="40"/>
        <w:rPr>
          <w:b/>
          <w:sz w:val="24"/>
        </w:rPr>
      </w:pPr>
      <w:r w:rsidRPr="00355344">
        <w:rPr>
          <w:b/>
          <w:bCs/>
          <w:sz w:val="24"/>
        </w:rPr>
        <w:t>SAKSTITTEL:</w:t>
      </w:r>
      <w:r w:rsidR="00F22F8F" w:rsidRPr="00355344">
        <w:rPr>
          <w:bCs/>
          <w:sz w:val="24"/>
        </w:rPr>
        <w:t xml:space="preserve"> </w:t>
      </w:r>
      <w:r w:rsidR="00CB345F" w:rsidRPr="00355344">
        <w:rPr>
          <w:b/>
          <w:bCs/>
          <w:sz w:val="24"/>
        </w:rPr>
        <w:t xml:space="preserve">Oppfølging av </w:t>
      </w:r>
      <w:r w:rsidR="00007C57" w:rsidRPr="00355344">
        <w:rPr>
          <w:b/>
          <w:bCs/>
          <w:sz w:val="24"/>
        </w:rPr>
        <w:t xml:space="preserve">gjennomgang av </w:t>
      </w:r>
      <w:r w:rsidR="00220A6B" w:rsidRPr="00355344">
        <w:rPr>
          <w:b/>
          <w:bCs/>
          <w:sz w:val="24"/>
        </w:rPr>
        <w:t>SMR som NI</w:t>
      </w:r>
      <w:r w:rsidR="00007C57" w:rsidRPr="00355344">
        <w:rPr>
          <w:b/>
          <w:bCs/>
          <w:sz w:val="24"/>
        </w:rPr>
        <w:t xml:space="preserve"> 2010-2011</w:t>
      </w:r>
      <w:r w:rsidR="00220A6B" w:rsidRPr="00355344">
        <w:rPr>
          <w:b/>
          <w:bCs/>
          <w:sz w:val="24"/>
        </w:rPr>
        <w:t>: Organisering av NI-arbeidet i overgangsperioden før etablering av ny NI</w:t>
      </w:r>
    </w:p>
    <w:p w:rsidR="00A503B3" w:rsidRPr="00355344" w:rsidRDefault="00A503B3" w:rsidP="002A340F">
      <w:pPr>
        <w:pStyle w:val="Topptekst"/>
        <w:tabs>
          <w:tab w:val="clear" w:pos="4536"/>
          <w:tab w:val="clear" w:pos="9072"/>
        </w:tabs>
        <w:rPr>
          <w:sz w:val="24"/>
        </w:rPr>
      </w:pPr>
    </w:p>
    <w:p w:rsidR="00DB1693" w:rsidRPr="00355344" w:rsidRDefault="00A503B3" w:rsidP="002A340F">
      <w:pPr>
        <w:pStyle w:val="Topptekst"/>
        <w:tabs>
          <w:tab w:val="clear" w:pos="4536"/>
          <w:tab w:val="clear" w:pos="9072"/>
        </w:tabs>
        <w:outlineLvl w:val="0"/>
        <w:rPr>
          <w:bCs/>
          <w:sz w:val="22"/>
          <w:szCs w:val="22"/>
        </w:rPr>
      </w:pPr>
      <w:r w:rsidRPr="00355344">
        <w:rPr>
          <w:b/>
          <w:bCs/>
          <w:sz w:val="22"/>
          <w:szCs w:val="22"/>
        </w:rPr>
        <w:t>Henvisning til lovverk, plandokumenter og tidligere behandling i styret:</w:t>
      </w:r>
    </w:p>
    <w:p w:rsidR="007C3296" w:rsidRPr="00355344" w:rsidRDefault="007C3296" w:rsidP="002A340F">
      <w:pPr>
        <w:rPr>
          <w:sz w:val="22"/>
          <w:szCs w:val="22"/>
        </w:rPr>
      </w:pPr>
      <w:r w:rsidRPr="00355344">
        <w:rPr>
          <w:sz w:val="22"/>
          <w:szCs w:val="22"/>
        </w:rPr>
        <w:t>Alle dokumenter i saken er lenket opp på web for de ulike styremøtene, se: http://</w:t>
      </w:r>
      <w:proofErr w:type="spellStart"/>
      <w:r w:rsidRPr="00355344">
        <w:rPr>
          <w:sz w:val="22"/>
          <w:szCs w:val="22"/>
        </w:rPr>
        <w:t>www.jus.uio.no</w:t>
      </w:r>
      <w:proofErr w:type="spellEnd"/>
      <w:r w:rsidRPr="00355344">
        <w:rPr>
          <w:sz w:val="22"/>
          <w:szCs w:val="22"/>
        </w:rPr>
        <w:t>/</w:t>
      </w:r>
      <w:proofErr w:type="spellStart"/>
      <w:r w:rsidRPr="00355344">
        <w:rPr>
          <w:sz w:val="22"/>
          <w:szCs w:val="22"/>
        </w:rPr>
        <w:t>smr</w:t>
      </w:r>
      <w:proofErr w:type="spellEnd"/>
      <w:r w:rsidRPr="00355344">
        <w:rPr>
          <w:sz w:val="22"/>
          <w:szCs w:val="22"/>
        </w:rPr>
        <w:t>/om/organisasjon/styret/referater/</w:t>
      </w:r>
    </w:p>
    <w:p w:rsidR="007C3296" w:rsidRPr="00355344" w:rsidRDefault="007C3296" w:rsidP="002A340F">
      <w:pPr>
        <w:rPr>
          <w:sz w:val="22"/>
          <w:szCs w:val="22"/>
        </w:rPr>
      </w:pPr>
    </w:p>
    <w:p w:rsidR="00220A6B" w:rsidRPr="00355344" w:rsidRDefault="007C3296" w:rsidP="002A340F">
      <w:pPr>
        <w:rPr>
          <w:sz w:val="22"/>
          <w:szCs w:val="22"/>
        </w:rPr>
      </w:pPr>
      <w:r w:rsidRPr="00355344">
        <w:rPr>
          <w:sz w:val="22"/>
          <w:szCs w:val="22"/>
        </w:rPr>
        <w:t>Styret behandlet på møte 2/2011 sak 05/2011 “Rapport fra utvalgt som har gjennomgått Nasjonal institusjon for menneskerettigheter ved SMR”</w:t>
      </w:r>
      <w:r w:rsidR="00220A6B" w:rsidRPr="00355344">
        <w:rPr>
          <w:sz w:val="22"/>
          <w:szCs w:val="22"/>
        </w:rPr>
        <w:t xml:space="preserve"> og fattet vedtak gjengitt nedenfor. Rapportens substans og prosessen fremover ble videre diskutert på ekstraordinært styremøte 3/2011 sak 7/2011. Det ble ikke fattet vedtak, men styret ba om et notat til neste ordinære styremøte hvor ulike scenarier for utskillelse av NI ble drøftet.</w:t>
      </w:r>
    </w:p>
    <w:p w:rsidR="00220A6B" w:rsidRPr="00355344" w:rsidRDefault="00220A6B" w:rsidP="002A340F">
      <w:pPr>
        <w:rPr>
          <w:sz w:val="22"/>
          <w:szCs w:val="22"/>
        </w:rPr>
      </w:pPr>
    </w:p>
    <w:p w:rsidR="007C3296" w:rsidRPr="00355344" w:rsidRDefault="007C3296" w:rsidP="002A340F">
      <w:pPr>
        <w:rPr>
          <w:sz w:val="22"/>
          <w:szCs w:val="22"/>
        </w:rPr>
      </w:pPr>
      <w:r w:rsidRPr="00355344">
        <w:rPr>
          <w:sz w:val="22"/>
          <w:szCs w:val="22"/>
        </w:rPr>
        <w:t>Vedtak</w:t>
      </w:r>
      <w:r w:rsidR="00220A6B" w:rsidRPr="00355344">
        <w:rPr>
          <w:sz w:val="22"/>
          <w:szCs w:val="22"/>
        </w:rPr>
        <w:t xml:space="preserve"> i sak 05/2011</w:t>
      </w:r>
      <w:r w:rsidRPr="00355344">
        <w:rPr>
          <w:sz w:val="22"/>
          <w:szCs w:val="22"/>
        </w:rPr>
        <w:t>: Se stemmeforklaring til slutt.</w:t>
      </w:r>
      <w:r w:rsidRPr="00355344">
        <w:rPr>
          <w:sz w:val="22"/>
          <w:szCs w:val="22"/>
        </w:rPr>
        <w:br/>
        <w:t>   1. Styret ved Norsk senter for menneskerettigheter har i sitt møte 17. mars 2011 gjennomført en foreløpig drøfting av rapporten “</w:t>
      </w:r>
      <w:proofErr w:type="spellStart"/>
      <w:r w:rsidRPr="00355344">
        <w:rPr>
          <w:sz w:val="22"/>
          <w:szCs w:val="22"/>
        </w:rPr>
        <w:t>Protecting</w:t>
      </w:r>
      <w:proofErr w:type="spellEnd"/>
      <w:r w:rsidRPr="00355344">
        <w:rPr>
          <w:sz w:val="22"/>
          <w:szCs w:val="22"/>
        </w:rPr>
        <w:t xml:space="preserve"> and </w:t>
      </w:r>
      <w:proofErr w:type="spellStart"/>
      <w:r w:rsidRPr="00355344">
        <w:rPr>
          <w:sz w:val="22"/>
          <w:szCs w:val="22"/>
        </w:rPr>
        <w:t>Promoting</w:t>
      </w:r>
      <w:proofErr w:type="spellEnd"/>
      <w:r w:rsidRPr="00355344">
        <w:rPr>
          <w:sz w:val="22"/>
          <w:szCs w:val="22"/>
        </w:rPr>
        <w:t xml:space="preserve"> Human Rights in Norway. </w:t>
      </w:r>
      <w:r w:rsidRPr="0002064E">
        <w:rPr>
          <w:sz w:val="22"/>
          <w:szCs w:val="22"/>
          <w:lang w:val="en-US"/>
        </w:rPr>
        <w:t xml:space="preserve">Review of the Norwegian Centre for Human Rights in its Capacity as Norway’s National Human Rights Institution”. </w:t>
      </w:r>
      <w:r w:rsidRPr="00355344">
        <w:rPr>
          <w:sz w:val="22"/>
          <w:szCs w:val="22"/>
        </w:rPr>
        <w:t>Styret noterer at prosessen så langt er forsinket og har i denne omgang ikke hatt tid og anledning til å gå inn på konsekvenser for SMR av rapportens konkrete løsningsforslag ut over hovedkonklusjonen.</w:t>
      </w:r>
      <w:r w:rsidRPr="00355344">
        <w:rPr>
          <w:sz w:val="22"/>
          <w:szCs w:val="22"/>
        </w:rPr>
        <w:br/>
        <w:t xml:space="preserve">   2. Med bakgrunn i SMRs egen gjennomgang av rollen som nasjonal institusjon (NI) fra 2010 og styrets drøfting av spørsmålet i den sammenheng slutter styret seg til hovedkonklusjonen i rapporten. Styret gir dermed sin støtte til at en prosess igangsettes for å utskille NI-funksjonen fra SMR som grunnenhet ved Universitetet i Oslo. Styret registrerer at ledelsen ved Juridisk fakultet og universitetets sentrale ledelse deler denne oppfatningen. Styret kalles inn til et ekstraordinært styremøte 28/3 </w:t>
      </w:r>
      <w:proofErr w:type="spellStart"/>
      <w:r w:rsidRPr="00355344">
        <w:rPr>
          <w:sz w:val="22"/>
          <w:szCs w:val="22"/>
        </w:rPr>
        <w:t>kl.1400</w:t>
      </w:r>
      <w:proofErr w:type="spellEnd"/>
      <w:r w:rsidRPr="00355344">
        <w:rPr>
          <w:sz w:val="22"/>
          <w:szCs w:val="22"/>
        </w:rPr>
        <w:t>-1700. Til møtet vil det foreligge utkast til tidsplan som viser hvordan SMR vil arbeide videre med NI-</w:t>
      </w:r>
      <w:r w:rsidR="00355344" w:rsidRPr="00355344">
        <w:rPr>
          <w:sz w:val="22"/>
          <w:szCs w:val="22"/>
        </w:rPr>
        <w:t>gjennomgangen</w:t>
      </w:r>
      <w:r w:rsidRPr="00355344">
        <w:rPr>
          <w:sz w:val="22"/>
          <w:szCs w:val="22"/>
        </w:rPr>
        <w:t>. Styret ber om innspill fra ansatte til møtet 28/3.</w:t>
      </w:r>
      <w:r w:rsidRPr="00355344">
        <w:rPr>
          <w:sz w:val="22"/>
          <w:szCs w:val="22"/>
        </w:rPr>
        <w:br/>
        <w:t>   3. Styret ber direktøren avklare denne posisjonen med ledelsen ved Juridisk fakultet og universitetets rektor slik at Universitetet i Oslo klargjør sin holdning overfor ansvarlige myndigheter.</w:t>
      </w:r>
      <w:r w:rsidRPr="00355344">
        <w:rPr>
          <w:sz w:val="22"/>
          <w:szCs w:val="22"/>
        </w:rPr>
        <w:br/>
        <w:t>   4. Styret oppfordrer universitetets sentrale ledelse til å sikre at SMR styrker sin posisjon som universitetsinstitusjon og ikke kommer svekket ut ved en utskillelse av NI-funksjonen. Styret vil sammen med direktøren arbeide aktivt for å oppnå denne målsettingen. Styret ber Rektoratet om å lede forventede forhandlinger med myndighetene om kompensasjon for den øremerkede NI-bevilgningen..</w:t>
      </w:r>
      <w:r w:rsidRPr="00355344">
        <w:rPr>
          <w:sz w:val="22"/>
          <w:szCs w:val="22"/>
        </w:rPr>
        <w:br/>
        <w:t>   5. Styret vil videre oppfordre norske myndigheter til å sikre at Norge i fremtiden har en nasjonal institusjon for menneskerettigheter med en tyngde og kapasitet som står i forhold til Norges ambisjoner som en av de fremste forkjempere for menneskerettighetene internasjonalt. Styret vil støtte direktørens arbeide for å oppnå denne målsettingen.</w:t>
      </w:r>
      <w:r w:rsidRPr="00355344">
        <w:rPr>
          <w:sz w:val="22"/>
          <w:szCs w:val="22"/>
        </w:rPr>
        <w:br/>
      </w:r>
      <w:r w:rsidRPr="00355344">
        <w:rPr>
          <w:sz w:val="22"/>
          <w:szCs w:val="22"/>
        </w:rPr>
        <w:lastRenderedPageBreak/>
        <w:t>   6. Styret ber direktøren ivareta ansvaret som NI på en best mulig måte i forbindelse med den kommende re-akkrediteringsprosessen og i perioden frem til NI har funnet en ny organisatorisk form. Direktøren holder styret informert om utviklingen av planer for en overgangsordning.</w:t>
      </w:r>
    </w:p>
    <w:p w:rsidR="00220A6B" w:rsidRPr="00355344" w:rsidRDefault="007C3296" w:rsidP="002A340F">
      <w:pPr>
        <w:snapToGrid w:val="0"/>
        <w:rPr>
          <w:sz w:val="22"/>
          <w:szCs w:val="22"/>
        </w:rPr>
      </w:pPr>
      <w:r w:rsidRPr="00355344">
        <w:rPr>
          <w:sz w:val="22"/>
          <w:szCs w:val="22"/>
        </w:rPr>
        <w:t xml:space="preserve">   7. Styret legger til grunn at alle ansatte og i særdeleshet de berørte NI-ansatte involveres på en god måte i prosessen.</w:t>
      </w:r>
      <w:r w:rsidRPr="00355344">
        <w:rPr>
          <w:sz w:val="22"/>
          <w:szCs w:val="22"/>
        </w:rPr>
        <w:br/>
      </w:r>
      <w:r w:rsidRPr="00355344">
        <w:rPr>
          <w:sz w:val="22"/>
          <w:szCs w:val="22"/>
        </w:rPr>
        <w:br/>
        <w:t xml:space="preserve">Stemmeforklaring: </w:t>
      </w:r>
      <w:proofErr w:type="spellStart"/>
      <w:r w:rsidRPr="00355344">
        <w:rPr>
          <w:sz w:val="22"/>
          <w:szCs w:val="22"/>
        </w:rPr>
        <w:t>Pkt</w:t>
      </w:r>
      <w:proofErr w:type="spellEnd"/>
      <w:r w:rsidRPr="00355344">
        <w:rPr>
          <w:sz w:val="22"/>
          <w:szCs w:val="22"/>
        </w:rPr>
        <w:t xml:space="preserve"> 1, 2, 3, 4, 5 og 6 fikk 5 stemmer for og 1 stemme mot; representanten for de administrativt ansatte stemte for tillegget til </w:t>
      </w:r>
      <w:proofErr w:type="spellStart"/>
      <w:r w:rsidRPr="00355344">
        <w:rPr>
          <w:sz w:val="22"/>
          <w:szCs w:val="22"/>
        </w:rPr>
        <w:t>pkt</w:t>
      </w:r>
      <w:proofErr w:type="spellEnd"/>
      <w:r w:rsidRPr="00355344">
        <w:rPr>
          <w:sz w:val="22"/>
          <w:szCs w:val="22"/>
        </w:rPr>
        <w:t xml:space="preserve"> 2 (de tre siste setningene). Alternativt forslag til punkt 1 fra de </w:t>
      </w:r>
      <w:proofErr w:type="gramStart"/>
      <w:r w:rsidRPr="00355344">
        <w:rPr>
          <w:sz w:val="22"/>
          <w:szCs w:val="22"/>
        </w:rPr>
        <w:t>administrativt</w:t>
      </w:r>
      <w:proofErr w:type="gramEnd"/>
      <w:r w:rsidRPr="00355344">
        <w:rPr>
          <w:sz w:val="22"/>
          <w:szCs w:val="22"/>
        </w:rPr>
        <w:t xml:space="preserve"> ansatte fikk 1 stemme og 5 stemmer mot. </w:t>
      </w:r>
      <w:proofErr w:type="spellStart"/>
      <w:r w:rsidRPr="00355344">
        <w:rPr>
          <w:sz w:val="22"/>
          <w:szCs w:val="22"/>
        </w:rPr>
        <w:t>Pkt</w:t>
      </w:r>
      <w:proofErr w:type="spellEnd"/>
      <w:r w:rsidRPr="00355344">
        <w:rPr>
          <w:sz w:val="22"/>
          <w:szCs w:val="22"/>
        </w:rPr>
        <w:t xml:space="preserve"> 7 fikk enstemmighet for.</w:t>
      </w:r>
    </w:p>
    <w:p w:rsidR="00220A6B" w:rsidRPr="00355344" w:rsidRDefault="00220A6B" w:rsidP="002A340F">
      <w:pPr>
        <w:snapToGrid w:val="0"/>
        <w:rPr>
          <w:sz w:val="22"/>
          <w:szCs w:val="22"/>
        </w:rPr>
      </w:pPr>
    </w:p>
    <w:p w:rsidR="00C4724E" w:rsidRPr="00355344" w:rsidRDefault="00C4724E" w:rsidP="002A340F">
      <w:pPr>
        <w:snapToGrid w:val="0"/>
        <w:rPr>
          <w:sz w:val="22"/>
          <w:szCs w:val="22"/>
        </w:rPr>
      </w:pPr>
    </w:p>
    <w:p w:rsidR="00C4724E" w:rsidRPr="00355344" w:rsidRDefault="00C4724E" w:rsidP="00F953E2">
      <w:pPr>
        <w:spacing w:after="240"/>
        <w:rPr>
          <w:b/>
          <w:sz w:val="22"/>
          <w:szCs w:val="22"/>
        </w:rPr>
      </w:pPr>
      <w:r w:rsidRPr="00355344">
        <w:rPr>
          <w:b/>
          <w:sz w:val="22"/>
          <w:szCs w:val="22"/>
        </w:rPr>
        <w:t>Bakgrunn for saken:</w:t>
      </w:r>
    </w:p>
    <w:p w:rsidR="00747B48" w:rsidRPr="00355344" w:rsidRDefault="00747B48" w:rsidP="00747B48">
      <w:pPr>
        <w:pStyle w:val="Listeavsnitt"/>
        <w:numPr>
          <w:ilvl w:val="0"/>
          <w:numId w:val="42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Lang intern prosess for å få organisasjonsmodellen for NI til å fungere ved SMR som universitetsenhet etterfulgt av anmodning om ekstern gjennomgang.</w:t>
      </w:r>
    </w:p>
    <w:p w:rsidR="00747B48" w:rsidRPr="00355344" w:rsidRDefault="00747B48" w:rsidP="00747B48">
      <w:pPr>
        <w:pStyle w:val="Listeavsnitt"/>
        <w:numPr>
          <w:ilvl w:val="0"/>
          <w:numId w:val="42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Den eksterne gjennomgangen i regi av UD, påpeker sentrale utfordringer for NI gitt nåværende organisatoriske og økonomiske løsninger, metodisk tilnærming og interne arbeidsprosesser. </w:t>
      </w:r>
    </w:p>
    <w:p w:rsidR="00747B48" w:rsidRPr="00355344" w:rsidRDefault="00747B48" w:rsidP="00747B48">
      <w:pPr>
        <w:pStyle w:val="Listeavsnitt"/>
        <w:numPr>
          <w:ilvl w:val="0"/>
          <w:numId w:val="42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Internasjonal revurdering av SMR status (re-akkreditering) som Nasjonal institusjon 23.05.11 vil gi informasjon om forbedringsbehov ifht Paris-prinsippene </w:t>
      </w:r>
    </w:p>
    <w:p w:rsidR="00747B48" w:rsidRPr="00355344" w:rsidRDefault="00747B48" w:rsidP="00747B48">
      <w:pPr>
        <w:pStyle w:val="Listeavsnitt"/>
        <w:numPr>
          <w:ilvl w:val="0"/>
          <w:numId w:val="42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Styrets beslutning 17.03.11 om å igangsette prosessen for å avvikle rollen som Norges nasjonale institusjon. Senteret vil videreføre sitt arbeid og ansvar for NI inntil ny organisasjonsmodell er avklart. </w:t>
      </w:r>
    </w:p>
    <w:p w:rsidR="00747B48" w:rsidRPr="00355344" w:rsidRDefault="00355344" w:rsidP="00747B48">
      <w:pPr>
        <w:pStyle w:val="Listeavsnitt"/>
        <w:numPr>
          <w:ilvl w:val="0"/>
          <w:numId w:val="42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Diskusjon på styremøte 28.03.11 konkluderte med behov for nærmere avklaring av nødvendige tiltak i overgangsperioden.</w:t>
      </w:r>
    </w:p>
    <w:p w:rsidR="00747B48" w:rsidRPr="00355344" w:rsidRDefault="00747B48" w:rsidP="00747B48">
      <w:pPr>
        <w:rPr>
          <w:b/>
          <w:sz w:val="22"/>
          <w:szCs w:val="22"/>
        </w:rPr>
      </w:pPr>
    </w:p>
    <w:p w:rsidR="00747B48" w:rsidRPr="00355344" w:rsidRDefault="00747B48" w:rsidP="00747B48">
      <w:pPr>
        <w:spacing w:after="240"/>
        <w:rPr>
          <w:b/>
          <w:sz w:val="22"/>
          <w:szCs w:val="22"/>
        </w:rPr>
      </w:pPr>
      <w:r w:rsidRPr="00355344">
        <w:rPr>
          <w:b/>
          <w:sz w:val="22"/>
          <w:szCs w:val="22"/>
        </w:rPr>
        <w:t xml:space="preserve">Målsettinger for overgangsperioden: </w:t>
      </w:r>
    </w:p>
    <w:p w:rsidR="00747B48" w:rsidRPr="00355344" w:rsidRDefault="00747B48" w:rsidP="00747B48">
      <w:pPr>
        <w:spacing w:after="240"/>
        <w:rPr>
          <w:sz w:val="22"/>
          <w:szCs w:val="22"/>
        </w:rPr>
      </w:pPr>
      <w:r w:rsidRPr="00355344">
        <w:rPr>
          <w:sz w:val="22"/>
          <w:szCs w:val="22"/>
        </w:rPr>
        <w:t xml:space="preserve">Innenfor dagens mandat og muligheter skal SMR arbeide langs to parallelle spor: UiO-sporet og NI-sporet: </w:t>
      </w:r>
    </w:p>
    <w:p w:rsidR="00747B48" w:rsidRPr="00355344" w:rsidRDefault="00747B48" w:rsidP="00747B48">
      <w:pPr>
        <w:pStyle w:val="Listeavsnit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Sikre at avviklingen av SMRs rolle som NI og den faktiske utskillelsen av NI fra SMR skal skje på en godt planlagt og forutsigbar måte. Prosessen vil innebære dialog </w:t>
      </w:r>
    </w:p>
    <w:p w:rsidR="00747B48" w:rsidRPr="00355344" w:rsidRDefault="00747B48" w:rsidP="00747B48">
      <w:pPr>
        <w:pStyle w:val="Listeavsnitt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a) internt om UiO-sporet: Samarbeide med JUS og UiO-ledelsen om kortsiktige og langsiktige tiltak for å sikre SMRs fremtid som </w:t>
      </w:r>
      <w:proofErr w:type="spellStart"/>
      <w:r w:rsidRPr="00355344">
        <w:rPr>
          <w:rFonts w:ascii="Times New Roman" w:hAnsi="Times New Roman"/>
          <w:sz w:val="22"/>
          <w:szCs w:val="22"/>
        </w:rPr>
        <w:t>UiO’s</w:t>
      </w:r>
      <w:proofErr w:type="spellEnd"/>
      <w:r w:rsidRPr="00355344">
        <w:rPr>
          <w:rFonts w:ascii="Times New Roman" w:hAnsi="Times New Roman"/>
          <w:sz w:val="22"/>
          <w:szCs w:val="22"/>
        </w:rPr>
        <w:t xml:space="preserve"> tverrfaglige senter for forskning, utdanning og internasjonalt samarbeid på </w:t>
      </w:r>
      <w:proofErr w:type="spellStart"/>
      <w:r w:rsidRPr="00355344">
        <w:rPr>
          <w:rFonts w:ascii="Times New Roman" w:hAnsi="Times New Roman"/>
          <w:sz w:val="22"/>
          <w:szCs w:val="22"/>
        </w:rPr>
        <w:t>MR</w:t>
      </w:r>
      <w:proofErr w:type="spellEnd"/>
      <w:r w:rsidRPr="00355344">
        <w:rPr>
          <w:rFonts w:ascii="Times New Roman" w:hAnsi="Times New Roman"/>
          <w:sz w:val="22"/>
          <w:szCs w:val="22"/>
        </w:rPr>
        <w:t>-feltet, og om ansvarlig utskilling/avvikling av NI-virksomheten,</w:t>
      </w:r>
    </w:p>
    <w:p w:rsidR="00747B48" w:rsidRPr="0002064E" w:rsidRDefault="00747B48" w:rsidP="00747B48">
      <w:pPr>
        <w:pStyle w:val="Listeavsnitt"/>
        <w:rPr>
          <w:rFonts w:ascii="Times New Roman" w:hAnsi="Times New Roman"/>
          <w:sz w:val="22"/>
          <w:szCs w:val="22"/>
          <w:lang w:val="da-DK"/>
        </w:rPr>
      </w:pPr>
      <w:r w:rsidRPr="0002064E">
        <w:rPr>
          <w:rFonts w:ascii="Times New Roman" w:hAnsi="Times New Roman"/>
          <w:sz w:val="22"/>
          <w:szCs w:val="22"/>
          <w:lang w:val="da-DK"/>
        </w:rPr>
        <w:t xml:space="preserve">b) eksternt med relevante myndigheter (UD, KD, JD, AD, BLD m.fl.), </w:t>
      </w:r>
    </w:p>
    <w:p w:rsidR="00747B48" w:rsidRPr="00355344" w:rsidRDefault="00747B48" w:rsidP="00747B48">
      <w:pPr>
        <w:pStyle w:val="Listeavsnitt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c) internasjonalt med ICC (koordineringskomiteen for nettverket av </w:t>
      </w:r>
      <w:proofErr w:type="spellStart"/>
      <w:r w:rsidRPr="00355344">
        <w:rPr>
          <w:rFonts w:ascii="Times New Roman" w:hAnsi="Times New Roman"/>
          <w:sz w:val="22"/>
          <w:szCs w:val="22"/>
        </w:rPr>
        <w:t>NIer</w:t>
      </w:r>
      <w:proofErr w:type="spellEnd"/>
      <w:r w:rsidRPr="00355344">
        <w:rPr>
          <w:rFonts w:ascii="Times New Roman" w:hAnsi="Times New Roman"/>
          <w:sz w:val="22"/>
          <w:szCs w:val="22"/>
        </w:rPr>
        <w:t xml:space="preserve">), samt </w:t>
      </w:r>
    </w:p>
    <w:p w:rsidR="00747B48" w:rsidRPr="00355344" w:rsidRDefault="00747B48" w:rsidP="00747B48">
      <w:pPr>
        <w:ind w:firstLine="708"/>
        <w:rPr>
          <w:sz w:val="22"/>
          <w:szCs w:val="22"/>
        </w:rPr>
      </w:pPr>
      <w:r w:rsidRPr="00355344">
        <w:rPr>
          <w:sz w:val="22"/>
          <w:szCs w:val="22"/>
        </w:rPr>
        <w:t>d) det sivile samfunn og relevante eksperter i Norge.</w:t>
      </w:r>
    </w:p>
    <w:p w:rsidR="00747B48" w:rsidRPr="00355344" w:rsidRDefault="00747B48" w:rsidP="00747B48">
      <w:pPr>
        <w:pStyle w:val="Listeavsnit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Utarbeide en plan for NI-virksomheten i overgangsperioden.   </w:t>
      </w:r>
    </w:p>
    <w:p w:rsidR="00747B48" w:rsidRPr="00355344" w:rsidRDefault="00747B48" w:rsidP="00747B48">
      <w:pPr>
        <w:pStyle w:val="Listeavsnit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Minimere mulige negative konsekvenser av utskillelse både for SMR som universitetsenhet og for Nasjonal institusjon i overgangsperioden. Økonomiske konsekvenser av utskillelse vil være et særskilt fokus.</w:t>
      </w:r>
    </w:p>
    <w:p w:rsidR="00747B48" w:rsidRPr="00355344" w:rsidRDefault="00747B48" w:rsidP="00747B48">
      <w:pPr>
        <w:pStyle w:val="Listeavsnit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Delta på en konstruktiv måte innenfor det som er naturlig gitt SMRs mandat, i diskusjonene om etablering av en ny Nasjonal institusjon, herunder format på et fremtidig samarbeid med den nye institusjonen.       </w:t>
      </w:r>
    </w:p>
    <w:p w:rsidR="00747B48" w:rsidRPr="00355344" w:rsidRDefault="00747B48" w:rsidP="00747B48">
      <w:pPr>
        <w:rPr>
          <w:sz w:val="22"/>
          <w:szCs w:val="22"/>
        </w:rPr>
      </w:pPr>
      <w:r w:rsidRPr="00355344">
        <w:rPr>
          <w:sz w:val="22"/>
          <w:szCs w:val="22"/>
        </w:rPr>
        <w:t>Notatets videre disposisjon følger disse målsettingene.</w:t>
      </w:r>
    </w:p>
    <w:p w:rsidR="00747B48" w:rsidRPr="00355344" w:rsidRDefault="00747B48" w:rsidP="00747B48">
      <w:pPr>
        <w:rPr>
          <w:sz w:val="22"/>
          <w:szCs w:val="22"/>
        </w:rPr>
      </w:pPr>
    </w:p>
    <w:p w:rsidR="00747B48" w:rsidRPr="00355344" w:rsidRDefault="00747B48" w:rsidP="00747B48">
      <w:pPr>
        <w:spacing w:after="240"/>
        <w:rPr>
          <w:b/>
          <w:sz w:val="22"/>
          <w:szCs w:val="22"/>
        </w:rPr>
      </w:pPr>
      <w:r w:rsidRPr="00355344">
        <w:rPr>
          <w:b/>
          <w:sz w:val="22"/>
          <w:szCs w:val="22"/>
        </w:rPr>
        <w:t>1. Planlegging og dialog</w:t>
      </w:r>
    </w:p>
    <w:p w:rsidR="00747B48" w:rsidRPr="00355344" w:rsidRDefault="00747B48" w:rsidP="00747B48">
      <w:pPr>
        <w:spacing w:after="240"/>
        <w:rPr>
          <w:sz w:val="22"/>
          <w:szCs w:val="22"/>
        </w:rPr>
      </w:pPr>
      <w:r w:rsidRPr="00355344">
        <w:rPr>
          <w:sz w:val="22"/>
          <w:szCs w:val="22"/>
        </w:rPr>
        <w:t xml:space="preserve">God planlegging vil gi en forutsigbar overgangsperiode for alle parter og vil øke mulighetene for å ivareta SMRs interesser. Det er mange aktører med ulike interesser og flere prosesser som løper parallelt. God kommunikasjon og dialog med involverte aktører vil derfor stå sentralt. </w:t>
      </w:r>
    </w:p>
    <w:p w:rsidR="00747B48" w:rsidRPr="00355344" w:rsidRDefault="00747B48" w:rsidP="00747B48">
      <w:pPr>
        <w:rPr>
          <w:sz w:val="22"/>
          <w:szCs w:val="22"/>
        </w:rPr>
      </w:pPr>
      <w:r w:rsidRPr="00355344">
        <w:rPr>
          <w:sz w:val="22"/>
          <w:szCs w:val="22"/>
        </w:rPr>
        <w:t>Kort blikk på SMRs interesser (som NI og universitetsenhet) i de ulike dialogene: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Universitetet: Tydeliggjøre UiOs eierskap til og styrking (personell/økonomisk) av SMR som universitetets tverrfaglige senter for menneskerettigheter, samt UiOs ansvar for å ivareta NI-funksjonen i overgangsperioden. Følge opp møtet med UiO-ledelsen 16.05 for å sikre medvirkning i universitetets forhandlinger med myndighetene.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Myndighetene (fokus KD): Uformelle sonderinger (koordinert med UiO-ledelsen) med relevante departementer og stortingspolitikere for å fremme forståelsen av behovet for at UiO styrker forskning/undervisning på menneskerettigheter. Dette blir en viktig begrunnelse for at myndighetene skal gi hel/delvis kompensasjon for bortfall av øremerkede NI-midler.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Myndighetene (fokus UD m.fl.): Presse på for at myndighetene følger opp den eksterne NI-gjennomgangen, utarbeider en strategi for oppfølging og sørger for nødvendige politiske beslutninger innenfor rimelig tid (usikkerhetsmomenter: politisk vilje; ulike departementers involvering; tidsperspektivet).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Internasjonal re-akkreditering: ICC viderefører A-status midlertidig med krav om oppfølging av konkrete anbefalinger innenfor stramme tidsrammer.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Sivilsamfunn: </w:t>
      </w:r>
      <w:proofErr w:type="spellStart"/>
      <w:r w:rsidRPr="00355344">
        <w:rPr>
          <w:rFonts w:ascii="Times New Roman" w:hAnsi="Times New Roman"/>
          <w:sz w:val="22"/>
          <w:szCs w:val="22"/>
        </w:rPr>
        <w:t>NGOer</w:t>
      </w:r>
      <w:proofErr w:type="spellEnd"/>
      <w:r w:rsidRPr="00355344">
        <w:rPr>
          <w:rFonts w:ascii="Times New Roman" w:hAnsi="Times New Roman"/>
          <w:sz w:val="22"/>
          <w:szCs w:val="22"/>
        </w:rPr>
        <w:t xml:space="preserve"> mobiliserer interesse for en ny NI, driver aktivt påvirkningsarbeid og deltar i diskusjonen om fremtidig NI-modell i Norge.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Eksperter: Involvere ressurspersoner med faglig tyngde og troverdighet i videreutvikling av NI i overgangsperioden.</w:t>
      </w:r>
    </w:p>
    <w:p w:rsidR="00747B48" w:rsidRPr="00355344" w:rsidRDefault="00747B48" w:rsidP="00747B48">
      <w:pPr>
        <w:rPr>
          <w:b/>
          <w:sz w:val="22"/>
          <w:szCs w:val="22"/>
        </w:rPr>
      </w:pPr>
    </w:p>
    <w:p w:rsidR="00747B48" w:rsidRPr="00355344" w:rsidRDefault="00747B48" w:rsidP="00747B48">
      <w:pPr>
        <w:spacing w:after="240"/>
        <w:rPr>
          <w:b/>
          <w:sz w:val="22"/>
          <w:szCs w:val="22"/>
        </w:rPr>
      </w:pPr>
      <w:r w:rsidRPr="00355344">
        <w:rPr>
          <w:b/>
          <w:sz w:val="22"/>
          <w:szCs w:val="22"/>
        </w:rPr>
        <w:t xml:space="preserve">2. Plan for NI i overgangsperioden (modell A og B) </w:t>
      </w:r>
    </w:p>
    <w:p w:rsidR="00747B48" w:rsidRPr="00355344" w:rsidRDefault="00747B48" w:rsidP="00747B48">
      <w:pPr>
        <w:spacing w:after="240"/>
        <w:rPr>
          <w:b/>
          <w:sz w:val="22"/>
          <w:szCs w:val="22"/>
        </w:rPr>
      </w:pPr>
      <w:r w:rsidRPr="00355344">
        <w:rPr>
          <w:b/>
          <w:sz w:val="22"/>
          <w:szCs w:val="22"/>
        </w:rPr>
        <w:t>Modell A:</w:t>
      </w:r>
    </w:p>
    <w:p w:rsidR="00747B48" w:rsidRPr="00355344" w:rsidRDefault="00747B48" w:rsidP="00747B48">
      <w:pPr>
        <w:pStyle w:val="Listeavsnitt"/>
        <w:numPr>
          <w:ilvl w:val="0"/>
          <w:numId w:val="44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Frist for utskillelse er utgangen av 2012</w:t>
      </w:r>
    </w:p>
    <w:p w:rsidR="00747B48" w:rsidRPr="00355344" w:rsidRDefault="00747B48" w:rsidP="00747B48">
      <w:pPr>
        <w:pStyle w:val="Listeavsnitt"/>
        <w:numPr>
          <w:ilvl w:val="0"/>
          <w:numId w:val="44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Etablere operasjonell og økonomisk uavhengighet for NI-virksomheten innenfor SMR:</w:t>
      </w:r>
    </w:p>
    <w:p w:rsidR="00747B48" w:rsidRPr="00355344" w:rsidRDefault="00747B48" w:rsidP="00747B48">
      <w:pPr>
        <w:pStyle w:val="Listeavsnitt"/>
        <w:numPr>
          <w:ilvl w:val="1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NI som et ‘særegent prosjekt’ </w:t>
      </w:r>
    </w:p>
    <w:p w:rsidR="00747B48" w:rsidRPr="00355344" w:rsidRDefault="00747B48" w:rsidP="00747B48">
      <w:pPr>
        <w:pStyle w:val="Listeavsnitt"/>
        <w:numPr>
          <w:ilvl w:val="1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Strammere ledelse med større fullmakter bl.a. til å vurdere etablering av referansegruppe/arbeidsutvalg for å styrke løpende virksomhet,</w:t>
      </w:r>
    </w:p>
    <w:p w:rsidR="00747B48" w:rsidRPr="00355344" w:rsidRDefault="00747B48" w:rsidP="00747B48">
      <w:pPr>
        <w:pStyle w:val="Listeavsnitt"/>
        <w:numPr>
          <w:ilvl w:val="1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Tilskudd av finansielle ressurser innenfor rammen av øremerket NI-bevilgning (første skritt, frigjøring av midler p.t. bundet i to forskerstillinger, innen utgangen av 2011).</w:t>
      </w:r>
    </w:p>
    <w:p w:rsidR="00747B48" w:rsidRPr="00355344" w:rsidRDefault="00747B48" w:rsidP="00747B48">
      <w:pPr>
        <w:pStyle w:val="Listeavsnitt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Arbeidsmetoder </w:t>
      </w:r>
    </w:p>
    <w:p w:rsidR="00747B48" w:rsidRPr="00355344" w:rsidRDefault="00747B48" w:rsidP="00747B48">
      <w:pPr>
        <w:pStyle w:val="Listeavsnitt"/>
        <w:numPr>
          <w:ilvl w:val="1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Forbedre systematikk og struktur I arbeidsmetoder</w:t>
      </w:r>
    </w:p>
    <w:p w:rsidR="00747B48" w:rsidRPr="00355344" w:rsidRDefault="00747B48" w:rsidP="00747B48">
      <w:pPr>
        <w:pStyle w:val="Listeavsnitt"/>
        <w:numPr>
          <w:ilvl w:val="1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Utvikle institusjonell kapasitet</w:t>
      </w:r>
    </w:p>
    <w:p w:rsidR="00747B48" w:rsidRPr="00355344" w:rsidRDefault="00747B48" w:rsidP="00747B48">
      <w:pPr>
        <w:pStyle w:val="Listeavsnitt"/>
        <w:numPr>
          <w:ilvl w:val="1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Styrke samarbeid med ombudene og andre ressurspersoner.</w:t>
      </w:r>
    </w:p>
    <w:p w:rsidR="00747B48" w:rsidRPr="00355344" w:rsidRDefault="00747B48" w:rsidP="00747B48">
      <w:pPr>
        <w:pStyle w:val="Listeavsnitt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Forberede overgang </w:t>
      </w:r>
    </w:p>
    <w:p w:rsidR="00747B48" w:rsidRPr="00355344" w:rsidRDefault="00747B48" w:rsidP="00747B48">
      <w:pPr>
        <w:pStyle w:val="Listeavsnitt"/>
        <w:numPr>
          <w:ilvl w:val="1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Videreutvikle NI-virksomheten med sikte på utskillelse, som selvstendig virkeområde (avhengig av senere beslutninger kan dette innebære sammenslåing </w:t>
      </w:r>
      <w:r w:rsidRPr="00355344">
        <w:rPr>
          <w:rFonts w:ascii="Times New Roman" w:hAnsi="Times New Roman"/>
          <w:sz w:val="22"/>
          <w:szCs w:val="22"/>
        </w:rPr>
        <w:lastRenderedPageBreak/>
        <w:t>av NI-enheten med annen eksisterende institusjon som blir gitt NI-mandat; eller NI-enheten som basis for etablering av ny NI).</w:t>
      </w:r>
    </w:p>
    <w:p w:rsidR="00747B48" w:rsidRPr="00355344" w:rsidRDefault="00747B48" w:rsidP="00747B48">
      <w:pPr>
        <w:pStyle w:val="Listeavsnitt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Dersom politiske og/eller andre forhold forsinker etablering av en ny NI, vil SMR initiere formell organisatorisk utskillelse av NI innenfor rammen av Universitetet (eget organisasjonsnummer) tidlig i 2013. </w:t>
      </w:r>
    </w:p>
    <w:p w:rsidR="00747B48" w:rsidRPr="00355344" w:rsidRDefault="00747B48" w:rsidP="00747B48">
      <w:pPr>
        <w:spacing w:after="240"/>
        <w:rPr>
          <w:b/>
          <w:sz w:val="22"/>
          <w:szCs w:val="22"/>
        </w:rPr>
      </w:pPr>
      <w:r w:rsidRPr="00355344">
        <w:rPr>
          <w:b/>
          <w:sz w:val="22"/>
          <w:szCs w:val="22"/>
        </w:rPr>
        <w:t>Modell B:</w:t>
      </w:r>
    </w:p>
    <w:p w:rsidR="00747B48" w:rsidRPr="00355344" w:rsidRDefault="00747B48" w:rsidP="00747B48">
      <w:pPr>
        <w:pStyle w:val="Listeavsnitt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Formell organisatorisk utskillelse av NI innenfor rammen av Universitetet (eget organisasjonsnummer) tidlig I 2012</w:t>
      </w:r>
    </w:p>
    <w:p w:rsidR="00747B48" w:rsidRPr="00355344" w:rsidRDefault="00747B48" w:rsidP="00747B48">
      <w:pPr>
        <w:pStyle w:val="Listeavsnitt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55344">
        <w:rPr>
          <w:rFonts w:ascii="Times New Roman" w:hAnsi="Times New Roman"/>
          <w:sz w:val="22"/>
          <w:szCs w:val="22"/>
        </w:rPr>
        <w:t>Formell avtale mellom SMR og utskilt universitetsvirksomhet om ‘kjøp’</w:t>
      </w:r>
      <w:proofErr w:type="gramEnd"/>
      <w:r w:rsidRPr="00355344">
        <w:rPr>
          <w:rFonts w:ascii="Times New Roman" w:hAnsi="Times New Roman"/>
          <w:sz w:val="22"/>
          <w:szCs w:val="22"/>
        </w:rPr>
        <w:t xml:space="preserve"> av tjenester tilsvarende ansatte som avventer avklaring på videre UiO-tilsetting</w:t>
      </w:r>
    </w:p>
    <w:p w:rsidR="00747B48" w:rsidRPr="00355344" w:rsidRDefault="00747B48" w:rsidP="00747B48">
      <w:pPr>
        <w:pStyle w:val="Listeavsnitt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Forøvrig som modell A.</w:t>
      </w:r>
    </w:p>
    <w:p w:rsidR="00747B48" w:rsidRPr="00355344" w:rsidRDefault="00747B48" w:rsidP="00747B48">
      <w:pPr>
        <w:rPr>
          <w:sz w:val="22"/>
          <w:szCs w:val="22"/>
        </w:rPr>
      </w:pPr>
    </w:p>
    <w:p w:rsidR="00747B48" w:rsidRPr="00355344" w:rsidRDefault="00747B48" w:rsidP="00747B48">
      <w:pPr>
        <w:rPr>
          <w:sz w:val="22"/>
          <w:szCs w:val="22"/>
        </w:rPr>
      </w:pPr>
    </w:p>
    <w:p w:rsidR="00747B48" w:rsidRPr="00355344" w:rsidRDefault="00747B48" w:rsidP="00747B48">
      <w:pPr>
        <w:spacing w:after="240"/>
        <w:rPr>
          <w:sz w:val="22"/>
          <w:szCs w:val="22"/>
        </w:rPr>
      </w:pPr>
      <w:r w:rsidRPr="00355344">
        <w:rPr>
          <w:sz w:val="22"/>
          <w:szCs w:val="22"/>
        </w:rPr>
        <w:t>Fordeler og ulemper ved de to modellene:</w:t>
      </w:r>
    </w:p>
    <w:p w:rsidR="00747B48" w:rsidRPr="00355344" w:rsidRDefault="00747B48" w:rsidP="00747B48">
      <w:pPr>
        <w:spacing w:after="240"/>
        <w:rPr>
          <w:sz w:val="22"/>
          <w:szCs w:val="22"/>
        </w:rPr>
      </w:pPr>
      <w:r w:rsidRPr="00355344">
        <w:rPr>
          <w:sz w:val="22"/>
          <w:szCs w:val="22"/>
        </w:rPr>
        <w:t>Modell A</w:t>
      </w:r>
    </w:p>
    <w:p w:rsidR="00747B48" w:rsidRPr="00355344" w:rsidRDefault="00747B48" w:rsidP="00747B48">
      <w:pPr>
        <w:spacing w:after="240"/>
        <w:ind w:firstLine="360"/>
        <w:rPr>
          <w:sz w:val="22"/>
          <w:szCs w:val="22"/>
        </w:rPr>
      </w:pPr>
      <w:r w:rsidRPr="00355344">
        <w:rPr>
          <w:sz w:val="22"/>
          <w:szCs w:val="22"/>
        </w:rPr>
        <w:t>Fordeler: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Endringer vil bli iverksatt innenfor SMRs nåværende administrative og juridiske rammeverk;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Reduserer tidsbruk og administrative ressurser på organisatoriske anliggender (tidsbruk for modell B foreløpig uavklart);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Løsningen er derved tidsbesparende på kort sikt. Den kan være tidsbesparende på mellomlang sikt dersom de nødvendige politiske avklaringer i forhold til etablering av en ny NI er på plass før sommeren 2012; 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Det er usannsynlig at JUS eller UiO-ledelsen vil ønske å gå inn på alternative organisatoriske løsninger for NI i overgangsperioden;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Skaper ikke bestemte forventninger om hva en frittstående NI vil kunne være i form og omfang (slik modell B kan tenkes å gi grunnlag for);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Unngår usikkerhet og interne spenninger knyttet til en nyordning av NI innenfor SMR i en uavklart overgangsfase. </w:t>
      </w:r>
    </w:p>
    <w:p w:rsidR="00747B48" w:rsidRPr="00355344" w:rsidRDefault="00747B48" w:rsidP="00747B48">
      <w:pPr>
        <w:spacing w:after="240"/>
        <w:ind w:firstLine="360"/>
        <w:rPr>
          <w:sz w:val="22"/>
          <w:szCs w:val="22"/>
        </w:rPr>
      </w:pPr>
      <w:r w:rsidRPr="00355344">
        <w:rPr>
          <w:sz w:val="22"/>
          <w:szCs w:val="22"/>
        </w:rPr>
        <w:t>Ulemper: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Usikkerhet for virksomhet på mellomlang sikt dersom nødvendige politiske avklaringer i forhold til etablering av en ny NI ikke er på plass før sommeren 2012;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Mindre stabilitet og forutsigbarhet i overgangsperioden. Dette gjør det mer komplisert å videreutvikle </w:t>
      </w:r>
      <w:proofErr w:type="spellStart"/>
      <w:r w:rsidRPr="00355344">
        <w:rPr>
          <w:rFonts w:ascii="Times New Roman" w:hAnsi="Times New Roman"/>
          <w:sz w:val="22"/>
          <w:szCs w:val="22"/>
        </w:rPr>
        <w:t>NIs</w:t>
      </w:r>
      <w:proofErr w:type="spellEnd"/>
      <w:r w:rsidRPr="00355344">
        <w:rPr>
          <w:rFonts w:ascii="Times New Roman" w:hAnsi="Times New Roman"/>
          <w:sz w:val="22"/>
          <w:szCs w:val="22"/>
        </w:rPr>
        <w:t xml:space="preserve"> institusjonelle kapasitet, arbeidsmetoder og andre forbedringer anbefalt i den eksterne gjennomgangen;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Mindre forutsigbarhet for dagens NI-ansatte og reduserte muligheter for NI å tiltrekke seg mer erfarne søkere / kompetanse i overgangsperioden;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Merarbeid i forhold til å sikre NI arbeidet innenfor universitetet på mellomlang sikt. I tillegg til de endringer som må gjøres i 2012, må det initieres en ny prosess for å sikre endrede betingelser i andre halvdel av 2012. Utsettelse med fare for knapphet på tid for </w:t>
      </w:r>
      <w:r w:rsidRPr="00355344">
        <w:rPr>
          <w:rFonts w:ascii="Times New Roman" w:hAnsi="Times New Roman"/>
          <w:sz w:val="22"/>
          <w:szCs w:val="22"/>
        </w:rPr>
        <w:lastRenderedPageBreak/>
        <w:t>gjennomføring av de administrative skritt som må tas når den faktiske utskillelsen og overføringen fra SMR / universitetet til en ny NI skal finne sted.</w:t>
      </w:r>
    </w:p>
    <w:p w:rsidR="00747B48" w:rsidRPr="00355344" w:rsidRDefault="00747B48" w:rsidP="00747B48">
      <w:pPr>
        <w:spacing w:after="240"/>
        <w:rPr>
          <w:sz w:val="22"/>
          <w:szCs w:val="22"/>
        </w:rPr>
      </w:pPr>
      <w:r w:rsidRPr="00355344">
        <w:rPr>
          <w:sz w:val="22"/>
          <w:szCs w:val="22"/>
        </w:rPr>
        <w:t>Modell B</w:t>
      </w:r>
    </w:p>
    <w:p w:rsidR="00747B48" w:rsidRPr="00355344" w:rsidRDefault="00747B48" w:rsidP="00747B48">
      <w:pPr>
        <w:spacing w:after="240"/>
        <w:rPr>
          <w:sz w:val="22"/>
          <w:szCs w:val="22"/>
        </w:rPr>
      </w:pPr>
      <w:r w:rsidRPr="00355344">
        <w:rPr>
          <w:sz w:val="22"/>
          <w:szCs w:val="22"/>
        </w:rPr>
        <w:tab/>
        <w:t>Fordeler: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Klargjør organisatorisk løsning som grunnlag for å planlegge </w:t>
      </w:r>
      <w:proofErr w:type="gramStart"/>
      <w:r w:rsidRPr="00355344">
        <w:rPr>
          <w:rFonts w:ascii="Times New Roman" w:hAnsi="Times New Roman"/>
          <w:sz w:val="22"/>
          <w:szCs w:val="22"/>
        </w:rPr>
        <w:t>og</w:t>
      </w:r>
      <w:proofErr w:type="gramEnd"/>
      <w:r w:rsidRPr="00355344">
        <w:rPr>
          <w:rFonts w:ascii="Times New Roman" w:hAnsi="Times New Roman"/>
          <w:sz w:val="22"/>
          <w:szCs w:val="22"/>
        </w:rPr>
        <w:t xml:space="preserve"> gjennomføre fremtidig utskillelse av NI fra SMR / universitetet;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Gjør det lettere for SMR å avklare og håndtere alle konsekvenser av en fremtidig utskillelse på et tidlig stadium i prosessen (herunder økonomisk kompensasjon for øremerket NI-bevilgning), og mindre avhengig av den politiske prosessen for å etablere en ny NI;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Mer stabil og forutsigbar overgangsperiode med bedre mulighet for å videreutvikle </w:t>
      </w:r>
      <w:proofErr w:type="spellStart"/>
      <w:r w:rsidRPr="00355344">
        <w:rPr>
          <w:rFonts w:ascii="Times New Roman" w:hAnsi="Times New Roman"/>
          <w:sz w:val="22"/>
          <w:szCs w:val="22"/>
        </w:rPr>
        <w:t>NIs</w:t>
      </w:r>
      <w:proofErr w:type="spellEnd"/>
      <w:r w:rsidRPr="00355344">
        <w:rPr>
          <w:rFonts w:ascii="Times New Roman" w:hAnsi="Times New Roman"/>
          <w:sz w:val="22"/>
          <w:szCs w:val="22"/>
        </w:rPr>
        <w:t xml:space="preserve"> institusjonelle kapasitet, arbeidsmetoder, tematisk rapportering (gitt tilgang på tematisk kompetent personell), synlighet, oppfølging overfor myndigheter </w:t>
      </w:r>
      <w:proofErr w:type="spellStart"/>
      <w:r w:rsidRPr="00355344">
        <w:rPr>
          <w:rFonts w:ascii="Times New Roman" w:hAnsi="Times New Roman"/>
          <w:sz w:val="22"/>
          <w:szCs w:val="22"/>
        </w:rPr>
        <w:t>m.v</w:t>
      </w:r>
      <w:proofErr w:type="spellEnd"/>
      <w:r w:rsidRPr="00355344">
        <w:rPr>
          <w:rFonts w:ascii="Times New Roman" w:hAnsi="Times New Roman"/>
          <w:sz w:val="22"/>
          <w:szCs w:val="22"/>
        </w:rPr>
        <w:t>.;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Tydelighet på roller vil gjøre det lettere for både NI og SMR å delta i diskusjonen rundt en ny NI;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Gir en mer avklaret organisatorisk løsning som vil lette (avhengig av hvilken modell man velger for en ny NI) integrering i en annen institusjon eller etableres som en ny institusjon.</w:t>
      </w:r>
    </w:p>
    <w:p w:rsidR="00747B48" w:rsidRPr="00355344" w:rsidRDefault="00747B48" w:rsidP="00747B48">
      <w:pPr>
        <w:spacing w:after="240"/>
        <w:ind w:left="360"/>
        <w:rPr>
          <w:sz w:val="22"/>
          <w:szCs w:val="22"/>
        </w:rPr>
      </w:pPr>
      <w:r w:rsidRPr="00355344">
        <w:rPr>
          <w:sz w:val="22"/>
          <w:szCs w:val="22"/>
        </w:rPr>
        <w:t>Ulemper: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Fordrer avklaring og gjennomføring av nødvendige administrative og organisatoriske endringer for å øke </w:t>
      </w:r>
      <w:proofErr w:type="spellStart"/>
      <w:r w:rsidRPr="00355344">
        <w:rPr>
          <w:rFonts w:ascii="Times New Roman" w:hAnsi="Times New Roman"/>
          <w:sz w:val="22"/>
          <w:szCs w:val="22"/>
        </w:rPr>
        <w:t>NIs</w:t>
      </w:r>
      <w:proofErr w:type="spellEnd"/>
      <w:r w:rsidRPr="00355344">
        <w:rPr>
          <w:rFonts w:ascii="Times New Roman" w:hAnsi="Times New Roman"/>
          <w:sz w:val="22"/>
          <w:szCs w:val="22"/>
        </w:rPr>
        <w:t xml:space="preserve"> uavhengighet innenfor rammen av universitetet;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Fordrer konsultasjon med og aksept fra andre deler av universitetet (universitetsledelse/fakultet). Det kan være vanskelig å få aksept for en slik overgangsløsning fra ulike deler av universitetet;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Vil ta lenger lengre tid å gjennomføre på kort sikt (tidsbruk for modell B foreløpig uavklart).</w:t>
      </w:r>
    </w:p>
    <w:p w:rsidR="00747B48" w:rsidRPr="00355344" w:rsidRDefault="00747B48" w:rsidP="00747B48">
      <w:pPr>
        <w:rPr>
          <w:sz w:val="22"/>
          <w:szCs w:val="22"/>
        </w:rPr>
      </w:pPr>
      <w:r w:rsidRPr="00355344">
        <w:rPr>
          <w:sz w:val="22"/>
          <w:szCs w:val="22"/>
        </w:rPr>
        <w:t>Direktøren ser at det kan være argumenter for begge alternativer, men vil ut fra en helhetsbetraktning anbefale alternativ A.</w:t>
      </w:r>
    </w:p>
    <w:p w:rsidR="00747B48" w:rsidRPr="00355344" w:rsidRDefault="00747B48" w:rsidP="00747B48">
      <w:pPr>
        <w:rPr>
          <w:sz w:val="22"/>
          <w:szCs w:val="22"/>
        </w:rPr>
      </w:pPr>
    </w:p>
    <w:p w:rsidR="00747B48" w:rsidRPr="00355344" w:rsidRDefault="00747B48" w:rsidP="00747B48">
      <w:pPr>
        <w:rPr>
          <w:sz w:val="22"/>
          <w:szCs w:val="22"/>
        </w:rPr>
      </w:pPr>
    </w:p>
    <w:p w:rsidR="00747B48" w:rsidRPr="00355344" w:rsidRDefault="00747B48" w:rsidP="00747B48">
      <w:pPr>
        <w:spacing w:after="240"/>
        <w:rPr>
          <w:sz w:val="22"/>
          <w:szCs w:val="22"/>
        </w:rPr>
      </w:pPr>
      <w:r w:rsidRPr="00355344">
        <w:rPr>
          <w:b/>
          <w:sz w:val="22"/>
          <w:szCs w:val="22"/>
        </w:rPr>
        <w:t>3. Minimere negative konsekvenser</w:t>
      </w:r>
      <w:r w:rsidRPr="00355344">
        <w:rPr>
          <w:sz w:val="22"/>
          <w:szCs w:val="22"/>
        </w:rPr>
        <w:t xml:space="preserve"> </w:t>
      </w:r>
    </w:p>
    <w:p w:rsidR="00747B48" w:rsidRPr="00355344" w:rsidRDefault="00747B48" w:rsidP="00747B48">
      <w:pPr>
        <w:spacing w:after="240"/>
        <w:rPr>
          <w:sz w:val="22"/>
          <w:szCs w:val="22"/>
        </w:rPr>
      </w:pPr>
      <w:r w:rsidRPr="00355344">
        <w:rPr>
          <w:sz w:val="22"/>
          <w:szCs w:val="22"/>
        </w:rPr>
        <w:t xml:space="preserve">Tre viktige initiativ og prosesser bør få oppmerksomhet. 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Videreutvikling av SMR som UiOs senter for menneskerettigheter i en post-NI fase. Hva innebærer det av reelle endringer at SMR ikke lenger skal være NI? SMR fungerte som et universitetssenter med forskning, undervisning og internasjonal programvirksomhet i mange år før kongelig resolusjon og NI-rollen. Hva kan det innebære av nye muligheter? Mer fokusert ledelse med økt satsing på omfattende forskningsprosjekter og profilerte undervisningstilbud. Dette og mer bør inngå i den foreslåtte planen som foreslås utarbeidet av UiO ledelsen i samarbeid med SMR.</w:t>
      </w:r>
    </w:p>
    <w:p w:rsidR="00747B48" w:rsidRPr="00355344" w:rsidRDefault="00747B48" w:rsidP="00747B48">
      <w:pPr>
        <w:pStyle w:val="Listeavsnitt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Utfordringen er hvordan dette skal kommuniseres tydelig internt (SMR, fakultet, UiO) og eksternt.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lastRenderedPageBreak/>
        <w:t>Kompensasjon til SMR for bortfall av øremerkede NI-midler. Gode argumenter og penger på bordet må til. Argumenter inkluderer betydningen av å videreføre nåværende forskning, dokumentasjon og formidlingsaktivitet når midlene faller bort; internasjonal utvikling, diskursen i Norge nødvendiggjør økt fokus på forskning av menneskerettslige problemstillinger.  Økonomisk er det for SMR underordnet om det er UiO, myndighetene eller begge som yter kompensasjon. For å befeste UiOs eierskap vil en andel midler fra UiO og/eller fakultetet være ønskelig. I tillegg vil lobbyvirksomhet opp mot Kunnskapsdepartementet (KD) sammen med rektor være et naturlig skritt (muligens med støtte fra UD?).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Sikre tilstrekkelig ressurser til NI i overgangsperioden - innenfor rammen av øremerket NI-bevilgning. Dette for å bidra til større etterrettelighet i bruk av midler og til en mer velfungerende NI i Norge også mens SMR har ansvaret. Uegennyttig støtte til en ny NI tilsier klar argumentasjon for en gradvis økning av midler til en ny NI.</w:t>
      </w:r>
    </w:p>
    <w:p w:rsidR="00747B48" w:rsidRPr="00355344" w:rsidRDefault="00747B48" w:rsidP="00747B48">
      <w:pPr>
        <w:ind w:left="360"/>
        <w:rPr>
          <w:b/>
          <w:sz w:val="22"/>
          <w:szCs w:val="22"/>
        </w:rPr>
      </w:pPr>
    </w:p>
    <w:p w:rsidR="00747B48" w:rsidRPr="00355344" w:rsidRDefault="00747B48" w:rsidP="00747B48">
      <w:pPr>
        <w:spacing w:after="240"/>
        <w:rPr>
          <w:b/>
          <w:sz w:val="22"/>
          <w:szCs w:val="22"/>
        </w:rPr>
      </w:pPr>
      <w:r w:rsidRPr="00355344">
        <w:rPr>
          <w:b/>
          <w:sz w:val="22"/>
          <w:szCs w:val="22"/>
        </w:rPr>
        <w:t xml:space="preserve">4. SMRs deltakelse i diskusjon om fremtidig NI </w:t>
      </w:r>
    </w:p>
    <w:p w:rsidR="00747B48" w:rsidRPr="00355344" w:rsidRDefault="00747B48" w:rsidP="00747B48">
      <w:pPr>
        <w:rPr>
          <w:sz w:val="22"/>
          <w:szCs w:val="22"/>
        </w:rPr>
      </w:pPr>
      <w:r w:rsidRPr="00355344">
        <w:rPr>
          <w:sz w:val="22"/>
          <w:szCs w:val="22"/>
        </w:rPr>
        <w:t>På hvilken måte er det naturlig at SMR tar del i diskusjonen om en ny NI?</w:t>
      </w:r>
    </w:p>
    <w:p w:rsidR="00747B48" w:rsidRPr="00355344" w:rsidRDefault="00747B48" w:rsidP="00747B48">
      <w:pPr>
        <w:pStyle w:val="Listeavsnitt"/>
        <w:numPr>
          <w:ilvl w:val="1"/>
          <w:numId w:val="45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Oppsummere og dele erfaringer fra arbeidet som NI;</w:t>
      </w:r>
    </w:p>
    <w:p w:rsidR="00747B48" w:rsidRPr="00355344" w:rsidRDefault="00747B48" w:rsidP="00747B48">
      <w:pPr>
        <w:pStyle w:val="Listeavsnitt"/>
        <w:numPr>
          <w:ilvl w:val="1"/>
          <w:numId w:val="45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>Ta ansvar for å sikre best mulig overføring av NI-arbeidet til ny organisasjonsmodell;</w:t>
      </w:r>
    </w:p>
    <w:p w:rsidR="00747B48" w:rsidRPr="00355344" w:rsidRDefault="00747B48" w:rsidP="00747B48">
      <w:pPr>
        <w:pStyle w:val="Listeavsnitt"/>
        <w:numPr>
          <w:ilvl w:val="1"/>
          <w:numId w:val="45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Bidra til å unngå duplisering, konkurranse og overlappende roller og mandater. </w:t>
      </w:r>
    </w:p>
    <w:p w:rsidR="00747B48" w:rsidRPr="00355344" w:rsidRDefault="00747B48" w:rsidP="00747B48">
      <w:pPr>
        <w:rPr>
          <w:sz w:val="22"/>
          <w:szCs w:val="22"/>
        </w:rPr>
      </w:pPr>
      <w:r w:rsidRPr="00355344">
        <w:rPr>
          <w:sz w:val="22"/>
          <w:szCs w:val="22"/>
        </w:rPr>
        <w:t>I tillegg bør det etableres gode samarbeidsrelasjoner som gjør SMR til den mest interessante samarbeidspartneren for en ny NI.</w:t>
      </w:r>
    </w:p>
    <w:p w:rsidR="00747B48" w:rsidRPr="00355344" w:rsidRDefault="00747B48" w:rsidP="00747B48">
      <w:pPr>
        <w:rPr>
          <w:sz w:val="22"/>
          <w:szCs w:val="22"/>
        </w:rPr>
      </w:pPr>
    </w:p>
    <w:p w:rsidR="00747B48" w:rsidRPr="00355344" w:rsidRDefault="00747B48" w:rsidP="00747B48">
      <w:pPr>
        <w:rPr>
          <w:sz w:val="22"/>
          <w:szCs w:val="22"/>
        </w:rPr>
      </w:pPr>
    </w:p>
    <w:p w:rsidR="00747B48" w:rsidRPr="00355344" w:rsidRDefault="00747B48" w:rsidP="00747B48">
      <w:pPr>
        <w:rPr>
          <w:sz w:val="22"/>
          <w:szCs w:val="22"/>
        </w:rPr>
      </w:pPr>
    </w:p>
    <w:p w:rsidR="00747B48" w:rsidRPr="00355344" w:rsidRDefault="00747B48" w:rsidP="00747B48">
      <w:pPr>
        <w:rPr>
          <w:sz w:val="22"/>
          <w:szCs w:val="22"/>
        </w:rPr>
      </w:pPr>
      <w:r w:rsidRPr="00355344">
        <w:rPr>
          <w:sz w:val="22"/>
          <w:szCs w:val="22"/>
        </w:rPr>
        <w:t>På denne bakgrunn foreslår vi at styret fatter vedtak som følger:</w:t>
      </w:r>
    </w:p>
    <w:p w:rsidR="00747B48" w:rsidRPr="00355344" w:rsidRDefault="00747B48" w:rsidP="00747B48">
      <w:pPr>
        <w:rPr>
          <w:b/>
          <w:sz w:val="22"/>
          <w:szCs w:val="22"/>
        </w:rPr>
      </w:pPr>
    </w:p>
    <w:p w:rsidR="00747B48" w:rsidRPr="00355344" w:rsidRDefault="00747B48" w:rsidP="00747B48">
      <w:pPr>
        <w:rPr>
          <w:b/>
          <w:sz w:val="22"/>
          <w:szCs w:val="22"/>
        </w:rPr>
      </w:pPr>
    </w:p>
    <w:p w:rsidR="00747B48" w:rsidRPr="00355344" w:rsidRDefault="00747B48" w:rsidP="00747B48">
      <w:pPr>
        <w:rPr>
          <w:b/>
          <w:sz w:val="22"/>
          <w:szCs w:val="22"/>
        </w:rPr>
      </w:pPr>
      <w:r w:rsidRPr="00355344">
        <w:rPr>
          <w:b/>
          <w:sz w:val="22"/>
          <w:szCs w:val="22"/>
        </w:rPr>
        <w:t>Forslag til vedtak:</w:t>
      </w:r>
    </w:p>
    <w:p w:rsidR="00747B48" w:rsidRPr="00355344" w:rsidRDefault="00747B48" w:rsidP="00747B48">
      <w:pPr>
        <w:pStyle w:val="Listeavsnitt"/>
        <w:numPr>
          <w:ilvl w:val="0"/>
          <w:numId w:val="4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355344">
        <w:rPr>
          <w:rFonts w:ascii="Times New Roman" w:hAnsi="Times New Roman"/>
          <w:sz w:val="22"/>
          <w:szCs w:val="22"/>
        </w:rPr>
        <w:t xml:space="preserve">Styret gir sin tilslutning til hovedmålsettingene som er trukket opp i dette notatet og ber direktøren arbeide videre med gjennomføringen av overgangsperioden basert på modell A. </w:t>
      </w:r>
    </w:p>
    <w:p w:rsidR="00FE27AA" w:rsidRPr="00355344" w:rsidRDefault="00FE27AA" w:rsidP="00747B48">
      <w:pPr>
        <w:snapToGrid w:val="0"/>
        <w:rPr>
          <w:bCs/>
          <w:sz w:val="24"/>
        </w:rPr>
      </w:pPr>
    </w:p>
    <w:sectPr w:rsidR="00FE27AA" w:rsidRPr="00355344" w:rsidSect="00393F76">
      <w:headerReference w:type="default" r:id="rId9"/>
      <w:footerReference w:type="default" r:id="rId10"/>
      <w:pgSz w:w="11906" w:h="16838" w:code="9"/>
      <w:pgMar w:top="1701" w:right="1418" w:bottom="1418" w:left="187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31" w:rsidRDefault="00B30B31">
      <w:r>
        <w:separator/>
      </w:r>
    </w:p>
  </w:endnote>
  <w:endnote w:type="continuationSeparator" w:id="0">
    <w:p w:rsidR="00B30B31" w:rsidRDefault="00B3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corde BE 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31" w:rsidRPr="001B4E3F" w:rsidRDefault="00B30B31">
    <w:pPr>
      <w:pStyle w:val="Bunntekst"/>
      <w:jc w:val="right"/>
    </w:pPr>
    <w:r w:rsidRPr="001B4E3F"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2064E">
      <w:rPr>
        <w:noProof/>
      </w:rPr>
      <w:t>1</w:t>
    </w:r>
    <w:r>
      <w:rPr>
        <w:noProof/>
      </w:rPr>
      <w:fldChar w:fldCharType="end"/>
    </w:r>
    <w:r w:rsidRPr="001B4E3F">
      <w:t xml:space="preserve"> av </w:t>
    </w:r>
    <w:fldSimple w:instr=" NUMPAGES  ">
      <w:r w:rsidR="0002064E">
        <w:rPr>
          <w:noProof/>
        </w:rPr>
        <w:t>6</w:t>
      </w:r>
    </w:fldSimple>
  </w:p>
  <w:p w:rsidR="00B30B31" w:rsidRPr="005D04DF" w:rsidRDefault="00B30B31" w:rsidP="005D04DF">
    <w:pPr>
      <w:pStyle w:val="Bunntekst"/>
      <w:rPr>
        <w:rFonts w:ascii="Concorde BE Regular" w:hAnsi="Concorde BE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31" w:rsidRDefault="00B30B31">
      <w:r>
        <w:separator/>
      </w:r>
    </w:p>
  </w:footnote>
  <w:footnote w:type="continuationSeparator" w:id="0">
    <w:p w:rsidR="00B30B31" w:rsidRDefault="00B30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31" w:rsidRDefault="00B30B31">
    <w:pPr>
      <w:pStyle w:val="Topptekst"/>
      <w:ind w:left="540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0" allowOverlap="1" wp14:anchorId="12427268" wp14:editId="1A2BC3E5">
          <wp:simplePos x="0" y="0"/>
          <wp:positionH relativeFrom="column">
            <wp:posOffset>-929005</wp:posOffset>
          </wp:positionH>
          <wp:positionV relativeFrom="paragraph">
            <wp:posOffset>43180</wp:posOffset>
          </wp:positionV>
          <wp:extent cx="4035425" cy="773430"/>
          <wp:effectExtent l="19050" t="0" r="3175" b="0"/>
          <wp:wrapNone/>
          <wp:docPr id="2" name="Picture 3" descr="Jur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urf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54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1A"/>
    <w:multiLevelType w:val="hybridMultilevel"/>
    <w:tmpl w:val="F3D4C1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016E"/>
    <w:multiLevelType w:val="hybridMultilevel"/>
    <w:tmpl w:val="0EC4D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D0BDF"/>
    <w:multiLevelType w:val="hybridMultilevel"/>
    <w:tmpl w:val="7AC8B55E"/>
    <w:lvl w:ilvl="0" w:tplc="721E6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A524E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B495D"/>
    <w:multiLevelType w:val="hybridMultilevel"/>
    <w:tmpl w:val="DEBA3846"/>
    <w:lvl w:ilvl="0" w:tplc="2CE49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0F22"/>
    <w:multiLevelType w:val="hybridMultilevel"/>
    <w:tmpl w:val="07B86F38"/>
    <w:lvl w:ilvl="0" w:tplc="6D0CE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2311"/>
    <w:multiLevelType w:val="hybridMultilevel"/>
    <w:tmpl w:val="AB86B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4E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C2149"/>
    <w:multiLevelType w:val="hybridMultilevel"/>
    <w:tmpl w:val="C35658BA"/>
    <w:lvl w:ilvl="0" w:tplc="3CF87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00D10"/>
    <w:multiLevelType w:val="hybridMultilevel"/>
    <w:tmpl w:val="4D42632E"/>
    <w:lvl w:ilvl="0" w:tplc="7186B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F1A5B"/>
    <w:multiLevelType w:val="multilevel"/>
    <w:tmpl w:val="31A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759FB"/>
    <w:multiLevelType w:val="multilevel"/>
    <w:tmpl w:val="0C044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CF8129A"/>
    <w:multiLevelType w:val="hybridMultilevel"/>
    <w:tmpl w:val="79E81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C12BD"/>
    <w:multiLevelType w:val="multilevel"/>
    <w:tmpl w:val="2244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66E84"/>
    <w:multiLevelType w:val="hybridMultilevel"/>
    <w:tmpl w:val="5EA07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1487C"/>
    <w:multiLevelType w:val="hybridMultilevel"/>
    <w:tmpl w:val="E47E6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57C50"/>
    <w:multiLevelType w:val="hybridMultilevel"/>
    <w:tmpl w:val="B4CEF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975B0"/>
    <w:multiLevelType w:val="hybridMultilevel"/>
    <w:tmpl w:val="F1D2C6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C3BE9"/>
    <w:multiLevelType w:val="hybridMultilevel"/>
    <w:tmpl w:val="AB2AD7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61512"/>
    <w:multiLevelType w:val="hybridMultilevel"/>
    <w:tmpl w:val="270EBEA4"/>
    <w:lvl w:ilvl="0" w:tplc="0414000F">
      <w:start w:val="1"/>
      <w:numFmt w:val="decimal"/>
      <w:lvlText w:val="%1."/>
      <w:lvlJc w:val="left"/>
      <w:pPr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2C0131"/>
    <w:multiLevelType w:val="hybridMultilevel"/>
    <w:tmpl w:val="EC004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40B26"/>
    <w:multiLevelType w:val="hybridMultilevel"/>
    <w:tmpl w:val="B6A439BC"/>
    <w:lvl w:ilvl="0" w:tplc="352E6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9C76D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nb-N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4214C"/>
    <w:multiLevelType w:val="hybridMultilevel"/>
    <w:tmpl w:val="D9B808A6"/>
    <w:lvl w:ilvl="0" w:tplc="9348C5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557773"/>
    <w:multiLevelType w:val="multilevel"/>
    <w:tmpl w:val="6C42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F73A5F"/>
    <w:multiLevelType w:val="hybridMultilevel"/>
    <w:tmpl w:val="F738E0A0"/>
    <w:lvl w:ilvl="0" w:tplc="02A6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418CC"/>
    <w:multiLevelType w:val="hybridMultilevel"/>
    <w:tmpl w:val="F8F80B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136D4"/>
    <w:multiLevelType w:val="multilevel"/>
    <w:tmpl w:val="316A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2C395B"/>
    <w:multiLevelType w:val="hybridMultilevel"/>
    <w:tmpl w:val="245A0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176F2"/>
    <w:multiLevelType w:val="hybridMultilevel"/>
    <w:tmpl w:val="054C98D4"/>
    <w:lvl w:ilvl="0" w:tplc="2A3EFD88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001555"/>
    <w:multiLevelType w:val="multilevel"/>
    <w:tmpl w:val="32C8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291140"/>
    <w:multiLevelType w:val="hybridMultilevel"/>
    <w:tmpl w:val="E910B816"/>
    <w:lvl w:ilvl="0" w:tplc="3510092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40447A"/>
    <w:multiLevelType w:val="hybridMultilevel"/>
    <w:tmpl w:val="F1D2C6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61F58"/>
    <w:multiLevelType w:val="hybridMultilevel"/>
    <w:tmpl w:val="520860FC"/>
    <w:lvl w:ilvl="0" w:tplc="9EA250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84822"/>
    <w:multiLevelType w:val="multilevel"/>
    <w:tmpl w:val="EBD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F52476"/>
    <w:multiLevelType w:val="hybridMultilevel"/>
    <w:tmpl w:val="FDBA5CE8"/>
    <w:lvl w:ilvl="0" w:tplc="0414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524E3CA5"/>
    <w:multiLevelType w:val="hybridMultilevel"/>
    <w:tmpl w:val="55CC0184"/>
    <w:lvl w:ilvl="0" w:tplc="941C71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5B3295"/>
    <w:multiLevelType w:val="hybridMultilevel"/>
    <w:tmpl w:val="E2BA9816"/>
    <w:lvl w:ilvl="0" w:tplc="865C0F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852A1"/>
    <w:multiLevelType w:val="hybridMultilevel"/>
    <w:tmpl w:val="3384D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A19A0"/>
    <w:multiLevelType w:val="hybridMultilevel"/>
    <w:tmpl w:val="5A0ACF20"/>
    <w:lvl w:ilvl="0" w:tplc="48AC8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2570C0"/>
    <w:multiLevelType w:val="hybridMultilevel"/>
    <w:tmpl w:val="78C48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C6B5A"/>
    <w:multiLevelType w:val="hybridMultilevel"/>
    <w:tmpl w:val="CEAADE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81A8F"/>
    <w:multiLevelType w:val="hybridMultilevel"/>
    <w:tmpl w:val="4D866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D43D9"/>
    <w:multiLevelType w:val="hybridMultilevel"/>
    <w:tmpl w:val="1F4E78BE"/>
    <w:lvl w:ilvl="0" w:tplc="9EA250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94F6F"/>
    <w:multiLevelType w:val="multilevel"/>
    <w:tmpl w:val="4070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DC460C"/>
    <w:multiLevelType w:val="hybridMultilevel"/>
    <w:tmpl w:val="01BABD2E"/>
    <w:lvl w:ilvl="0" w:tplc="15604448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9731F1"/>
    <w:multiLevelType w:val="multilevel"/>
    <w:tmpl w:val="3FF8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AE0CB3"/>
    <w:multiLevelType w:val="hybridMultilevel"/>
    <w:tmpl w:val="9D7AE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97DF2"/>
    <w:multiLevelType w:val="hybridMultilevel"/>
    <w:tmpl w:val="1E4A4E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32D15"/>
    <w:multiLevelType w:val="multilevel"/>
    <w:tmpl w:val="C16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6"/>
  </w:num>
  <w:num w:numId="3">
    <w:abstractNumId w:val="42"/>
  </w:num>
  <w:num w:numId="4">
    <w:abstractNumId w:val="40"/>
  </w:num>
  <w:num w:numId="5">
    <w:abstractNumId w:val="30"/>
  </w:num>
  <w:num w:numId="6">
    <w:abstractNumId w:val="20"/>
  </w:num>
  <w:num w:numId="7">
    <w:abstractNumId w:val="44"/>
  </w:num>
  <w:num w:numId="8">
    <w:abstractNumId w:val="38"/>
  </w:num>
  <w:num w:numId="9">
    <w:abstractNumId w:val="34"/>
  </w:num>
  <w:num w:numId="10">
    <w:abstractNumId w:val="6"/>
  </w:num>
  <w:num w:numId="11">
    <w:abstractNumId w:val="3"/>
  </w:num>
  <w:num w:numId="12">
    <w:abstractNumId w:val="45"/>
  </w:num>
  <w:num w:numId="13">
    <w:abstractNumId w:val="16"/>
  </w:num>
  <w:num w:numId="14">
    <w:abstractNumId w:val="8"/>
  </w:num>
  <w:num w:numId="15">
    <w:abstractNumId w:val="13"/>
  </w:num>
  <w:num w:numId="16">
    <w:abstractNumId w:val="32"/>
  </w:num>
  <w:num w:numId="17">
    <w:abstractNumId w:val="12"/>
  </w:num>
  <w:num w:numId="18">
    <w:abstractNumId w:val="29"/>
  </w:num>
  <w:num w:numId="19">
    <w:abstractNumId w:val="15"/>
  </w:num>
  <w:num w:numId="20">
    <w:abstractNumId w:val="25"/>
  </w:num>
  <w:num w:numId="21">
    <w:abstractNumId w:val="39"/>
  </w:num>
  <w:num w:numId="22">
    <w:abstractNumId w:val="14"/>
  </w:num>
  <w:num w:numId="23">
    <w:abstractNumId w:val="18"/>
  </w:num>
  <w:num w:numId="24">
    <w:abstractNumId w:val="23"/>
  </w:num>
  <w:num w:numId="25">
    <w:abstractNumId w:val="37"/>
  </w:num>
  <w:num w:numId="26">
    <w:abstractNumId w:val="46"/>
  </w:num>
  <w:num w:numId="27">
    <w:abstractNumId w:val="41"/>
  </w:num>
  <w:num w:numId="28">
    <w:abstractNumId w:val="11"/>
  </w:num>
  <w:num w:numId="29">
    <w:abstractNumId w:val="27"/>
  </w:num>
  <w:num w:numId="30">
    <w:abstractNumId w:val="31"/>
  </w:num>
  <w:num w:numId="31">
    <w:abstractNumId w:val="21"/>
  </w:num>
  <w:num w:numId="32">
    <w:abstractNumId w:val="24"/>
  </w:num>
  <w:num w:numId="33">
    <w:abstractNumId w:val="43"/>
  </w:num>
  <w:num w:numId="34">
    <w:abstractNumId w:val="4"/>
  </w:num>
  <w:num w:numId="35">
    <w:abstractNumId w:val="17"/>
  </w:num>
  <w:num w:numId="36">
    <w:abstractNumId w:val="28"/>
  </w:num>
  <w:num w:numId="37">
    <w:abstractNumId w:val="7"/>
  </w:num>
  <w:num w:numId="38">
    <w:abstractNumId w:val="36"/>
  </w:num>
  <w:num w:numId="39">
    <w:abstractNumId w:val="0"/>
  </w:num>
  <w:num w:numId="40">
    <w:abstractNumId w:val="1"/>
  </w:num>
  <w:num w:numId="41">
    <w:abstractNumId w:val="10"/>
  </w:num>
  <w:num w:numId="42">
    <w:abstractNumId w:val="22"/>
  </w:num>
  <w:num w:numId="43">
    <w:abstractNumId w:val="19"/>
  </w:num>
  <w:num w:numId="44">
    <w:abstractNumId w:val="2"/>
  </w:num>
  <w:num w:numId="45">
    <w:abstractNumId w:val="5"/>
  </w:num>
  <w:num w:numId="46">
    <w:abstractNumId w:val="3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4B"/>
    <w:rsid w:val="00003078"/>
    <w:rsid w:val="00007C57"/>
    <w:rsid w:val="0001371D"/>
    <w:rsid w:val="00015431"/>
    <w:rsid w:val="0002064E"/>
    <w:rsid w:val="000265FA"/>
    <w:rsid w:val="00037EEF"/>
    <w:rsid w:val="00044398"/>
    <w:rsid w:val="00055604"/>
    <w:rsid w:val="0006025E"/>
    <w:rsid w:val="0006350C"/>
    <w:rsid w:val="000658F0"/>
    <w:rsid w:val="000713B5"/>
    <w:rsid w:val="00092169"/>
    <w:rsid w:val="00093280"/>
    <w:rsid w:val="000B0277"/>
    <w:rsid w:val="000B09D8"/>
    <w:rsid w:val="000B5A47"/>
    <w:rsid w:val="000C325E"/>
    <w:rsid w:val="000E622E"/>
    <w:rsid w:val="000F0BDE"/>
    <w:rsid w:val="001030A5"/>
    <w:rsid w:val="00116358"/>
    <w:rsid w:val="001204AC"/>
    <w:rsid w:val="00126290"/>
    <w:rsid w:val="00126A4C"/>
    <w:rsid w:val="00127401"/>
    <w:rsid w:val="00154DAD"/>
    <w:rsid w:val="00191701"/>
    <w:rsid w:val="001931D0"/>
    <w:rsid w:val="001B2BBF"/>
    <w:rsid w:val="001B4E3F"/>
    <w:rsid w:val="001B7EBF"/>
    <w:rsid w:val="001C25DF"/>
    <w:rsid w:val="001D3C8E"/>
    <w:rsid w:val="001E4330"/>
    <w:rsid w:val="00220A6B"/>
    <w:rsid w:val="002327C0"/>
    <w:rsid w:val="00233FD4"/>
    <w:rsid w:val="002528DB"/>
    <w:rsid w:val="00254911"/>
    <w:rsid w:val="002648F1"/>
    <w:rsid w:val="00281849"/>
    <w:rsid w:val="002902DC"/>
    <w:rsid w:val="002A340F"/>
    <w:rsid w:val="002C6710"/>
    <w:rsid w:val="002F0316"/>
    <w:rsid w:val="00305440"/>
    <w:rsid w:val="003103D3"/>
    <w:rsid w:val="0031479A"/>
    <w:rsid w:val="003228B1"/>
    <w:rsid w:val="00322B62"/>
    <w:rsid w:val="00326DAB"/>
    <w:rsid w:val="00331A4D"/>
    <w:rsid w:val="0033767A"/>
    <w:rsid w:val="00355344"/>
    <w:rsid w:val="00393F76"/>
    <w:rsid w:val="003C096D"/>
    <w:rsid w:val="003D04F9"/>
    <w:rsid w:val="003D5AD8"/>
    <w:rsid w:val="004037EE"/>
    <w:rsid w:val="00403C62"/>
    <w:rsid w:val="004172E2"/>
    <w:rsid w:val="00423A77"/>
    <w:rsid w:val="004519AC"/>
    <w:rsid w:val="00455702"/>
    <w:rsid w:val="00456511"/>
    <w:rsid w:val="00477F11"/>
    <w:rsid w:val="004A5082"/>
    <w:rsid w:val="004B4ACB"/>
    <w:rsid w:val="004C62D6"/>
    <w:rsid w:val="004D62AC"/>
    <w:rsid w:val="004E0278"/>
    <w:rsid w:val="00544B03"/>
    <w:rsid w:val="00544C07"/>
    <w:rsid w:val="00547F30"/>
    <w:rsid w:val="00564B8F"/>
    <w:rsid w:val="0059710D"/>
    <w:rsid w:val="005A0891"/>
    <w:rsid w:val="005C1901"/>
    <w:rsid w:val="005C5495"/>
    <w:rsid w:val="005D04DF"/>
    <w:rsid w:val="005D21D8"/>
    <w:rsid w:val="005D6850"/>
    <w:rsid w:val="005D6F6F"/>
    <w:rsid w:val="005F1DA7"/>
    <w:rsid w:val="005F604E"/>
    <w:rsid w:val="00601FB8"/>
    <w:rsid w:val="00602B98"/>
    <w:rsid w:val="00606097"/>
    <w:rsid w:val="00630941"/>
    <w:rsid w:val="006436D1"/>
    <w:rsid w:val="006565C4"/>
    <w:rsid w:val="00697F5F"/>
    <w:rsid w:val="006E6D84"/>
    <w:rsid w:val="007033EF"/>
    <w:rsid w:val="007068D8"/>
    <w:rsid w:val="00747B48"/>
    <w:rsid w:val="007509F5"/>
    <w:rsid w:val="00752BF7"/>
    <w:rsid w:val="00761FC0"/>
    <w:rsid w:val="00772C38"/>
    <w:rsid w:val="00775BAF"/>
    <w:rsid w:val="00775DC8"/>
    <w:rsid w:val="007921FB"/>
    <w:rsid w:val="007A4759"/>
    <w:rsid w:val="007B1799"/>
    <w:rsid w:val="007C3296"/>
    <w:rsid w:val="007D182E"/>
    <w:rsid w:val="007D47D2"/>
    <w:rsid w:val="007E6C20"/>
    <w:rsid w:val="007E77DB"/>
    <w:rsid w:val="007F700B"/>
    <w:rsid w:val="0084535E"/>
    <w:rsid w:val="00846EE3"/>
    <w:rsid w:val="00850051"/>
    <w:rsid w:val="008528CF"/>
    <w:rsid w:val="00853B9B"/>
    <w:rsid w:val="008540B2"/>
    <w:rsid w:val="00862BB6"/>
    <w:rsid w:val="008632D1"/>
    <w:rsid w:val="00880F53"/>
    <w:rsid w:val="008937AC"/>
    <w:rsid w:val="00897FBF"/>
    <w:rsid w:val="008A1778"/>
    <w:rsid w:val="008B2359"/>
    <w:rsid w:val="009065D0"/>
    <w:rsid w:val="009114B1"/>
    <w:rsid w:val="00916A3A"/>
    <w:rsid w:val="009402EF"/>
    <w:rsid w:val="00945E3D"/>
    <w:rsid w:val="0096090C"/>
    <w:rsid w:val="00986049"/>
    <w:rsid w:val="009A47E4"/>
    <w:rsid w:val="009A7C72"/>
    <w:rsid w:val="009B312A"/>
    <w:rsid w:val="009B6105"/>
    <w:rsid w:val="009C1953"/>
    <w:rsid w:val="009C7699"/>
    <w:rsid w:val="009E5C37"/>
    <w:rsid w:val="00A12A54"/>
    <w:rsid w:val="00A20DDF"/>
    <w:rsid w:val="00A503B3"/>
    <w:rsid w:val="00A56014"/>
    <w:rsid w:val="00A60159"/>
    <w:rsid w:val="00A91932"/>
    <w:rsid w:val="00AA02A7"/>
    <w:rsid w:val="00AA0FC4"/>
    <w:rsid w:val="00AA3A86"/>
    <w:rsid w:val="00AB491A"/>
    <w:rsid w:val="00AB51E7"/>
    <w:rsid w:val="00AC726E"/>
    <w:rsid w:val="00AD5BBC"/>
    <w:rsid w:val="00AE4318"/>
    <w:rsid w:val="00B0727B"/>
    <w:rsid w:val="00B10359"/>
    <w:rsid w:val="00B14FA0"/>
    <w:rsid w:val="00B30207"/>
    <w:rsid w:val="00B30B31"/>
    <w:rsid w:val="00B30BF8"/>
    <w:rsid w:val="00B378A7"/>
    <w:rsid w:val="00B40F72"/>
    <w:rsid w:val="00B42877"/>
    <w:rsid w:val="00B46BEC"/>
    <w:rsid w:val="00B60C75"/>
    <w:rsid w:val="00B70846"/>
    <w:rsid w:val="00B90DBC"/>
    <w:rsid w:val="00B92B2F"/>
    <w:rsid w:val="00B93001"/>
    <w:rsid w:val="00B930CA"/>
    <w:rsid w:val="00BA38A0"/>
    <w:rsid w:val="00BC00BA"/>
    <w:rsid w:val="00BD7D4B"/>
    <w:rsid w:val="00BF0BA6"/>
    <w:rsid w:val="00BF1916"/>
    <w:rsid w:val="00BF2FA7"/>
    <w:rsid w:val="00BF32BD"/>
    <w:rsid w:val="00C05708"/>
    <w:rsid w:val="00C05FAA"/>
    <w:rsid w:val="00C141D4"/>
    <w:rsid w:val="00C21EE4"/>
    <w:rsid w:val="00C46127"/>
    <w:rsid w:val="00C4724E"/>
    <w:rsid w:val="00C50516"/>
    <w:rsid w:val="00C50E44"/>
    <w:rsid w:val="00C55387"/>
    <w:rsid w:val="00C60828"/>
    <w:rsid w:val="00C63CCA"/>
    <w:rsid w:val="00C75347"/>
    <w:rsid w:val="00C971EF"/>
    <w:rsid w:val="00CA13FD"/>
    <w:rsid w:val="00CA74CB"/>
    <w:rsid w:val="00CB345F"/>
    <w:rsid w:val="00CC2C11"/>
    <w:rsid w:val="00CE14AE"/>
    <w:rsid w:val="00CE2FF1"/>
    <w:rsid w:val="00CF0F32"/>
    <w:rsid w:val="00D15BB4"/>
    <w:rsid w:val="00D22664"/>
    <w:rsid w:val="00D35C00"/>
    <w:rsid w:val="00D50AC3"/>
    <w:rsid w:val="00D60652"/>
    <w:rsid w:val="00D65BDE"/>
    <w:rsid w:val="00D72519"/>
    <w:rsid w:val="00D77515"/>
    <w:rsid w:val="00DA0599"/>
    <w:rsid w:val="00DA236E"/>
    <w:rsid w:val="00DA7996"/>
    <w:rsid w:val="00DB1693"/>
    <w:rsid w:val="00DB2687"/>
    <w:rsid w:val="00DC433B"/>
    <w:rsid w:val="00DF7016"/>
    <w:rsid w:val="00E03EFC"/>
    <w:rsid w:val="00E05230"/>
    <w:rsid w:val="00E2372A"/>
    <w:rsid w:val="00E56E47"/>
    <w:rsid w:val="00E66C8B"/>
    <w:rsid w:val="00E718F9"/>
    <w:rsid w:val="00E822D3"/>
    <w:rsid w:val="00E824AB"/>
    <w:rsid w:val="00E8645B"/>
    <w:rsid w:val="00EB0541"/>
    <w:rsid w:val="00EB4F1D"/>
    <w:rsid w:val="00EB71A6"/>
    <w:rsid w:val="00EC51E2"/>
    <w:rsid w:val="00ED2554"/>
    <w:rsid w:val="00EF235D"/>
    <w:rsid w:val="00F22F8F"/>
    <w:rsid w:val="00F25C6D"/>
    <w:rsid w:val="00F26336"/>
    <w:rsid w:val="00F65029"/>
    <w:rsid w:val="00F665DD"/>
    <w:rsid w:val="00F777C0"/>
    <w:rsid w:val="00F80799"/>
    <w:rsid w:val="00F85150"/>
    <w:rsid w:val="00F864AA"/>
    <w:rsid w:val="00F876E1"/>
    <w:rsid w:val="00F92A66"/>
    <w:rsid w:val="00F93BA9"/>
    <w:rsid w:val="00F953E2"/>
    <w:rsid w:val="00FB0A26"/>
    <w:rsid w:val="00FB63FF"/>
    <w:rsid w:val="00FC475D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78"/>
    <w:rPr>
      <w:szCs w:val="24"/>
    </w:rPr>
  </w:style>
  <w:style w:type="paragraph" w:styleId="Overskrift3">
    <w:name w:val="heading 3"/>
    <w:basedOn w:val="Normal"/>
    <w:link w:val="Overskrift3Tegn"/>
    <w:uiPriority w:val="9"/>
    <w:qFormat/>
    <w:rsid w:val="008A1778"/>
    <w:pPr>
      <w:spacing w:before="150" w:after="75" w:line="310" w:lineRule="atLeast"/>
      <w:outlineLvl w:val="2"/>
    </w:pPr>
    <w:rPr>
      <w:rFonts w:ascii="Arial" w:hAnsi="Arial"/>
      <w:b/>
      <w:bCs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alvfet">
    <w:name w:val="Halvfet"/>
    <w:basedOn w:val="Normal"/>
    <w:autoRedefine/>
    <w:rsid w:val="00393F76"/>
    <w:pPr>
      <w:tabs>
        <w:tab w:val="num" w:pos="720"/>
      </w:tabs>
    </w:pPr>
    <w:rPr>
      <w:rFonts w:ascii="Concorde BE Regular" w:hAnsi="Concorde BE Regular"/>
      <w:b/>
      <w:bCs/>
    </w:rPr>
  </w:style>
  <w:style w:type="paragraph" w:customStyle="1" w:styleId="Normalminnrykk">
    <w:name w:val="Normal m/innrykk"/>
    <w:basedOn w:val="Normal"/>
    <w:autoRedefine/>
    <w:rsid w:val="00393F76"/>
    <w:pPr>
      <w:ind w:left="170"/>
    </w:pPr>
  </w:style>
  <w:style w:type="paragraph" w:customStyle="1" w:styleId="topp">
    <w:name w:val="topp"/>
    <w:basedOn w:val="Normal"/>
    <w:autoRedefine/>
    <w:rsid w:val="00393F76"/>
    <w:pPr>
      <w:ind w:left="-94"/>
    </w:pPr>
    <w:rPr>
      <w:rFonts w:ascii="Arial" w:hAnsi="Arial" w:cs="Arial"/>
      <w:b/>
      <w:sz w:val="22"/>
    </w:rPr>
  </w:style>
  <w:style w:type="paragraph" w:customStyle="1" w:styleId="Cellbody">
    <w:name w:val="Cellbody"/>
    <w:basedOn w:val="Normal"/>
    <w:autoRedefine/>
    <w:rsid w:val="00393F76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styleId="Topptekst">
    <w:name w:val="header"/>
    <w:basedOn w:val="Normal"/>
    <w:rsid w:val="00393F7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93F76"/>
    <w:pPr>
      <w:tabs>
        <w:tab w:val="center" w:pos="4536"/>
        <w:tab w:val="right" w:pos="9072"/>
      </w:tabs>
    </w:pPr>
    <w:rPr>
      <w:rFonts w:ascii="Arial Narrow" w:hAnsi="Arial Narrow"/>
      <w:sz w:val="28"/>
    </w:rPr>
  </w:style>
  <w:style w:type="paragraph" w:styleId="Dokumentkart">
    <w:name w:val="Document Map"/>
    <w:basedOn w:val="Normal"/>
    <w:semiHidden/>
    <w:rsid w:val="00AA02A7"/>
    <w:pPr>
      <w:shd w:val="clear" w:color="auto" w:fill="000080"/>
    </w:pPr>
    <w:rPr>
      <w:rFonts w:ascii="Tahoma" w:hAnsi="Tahoma" w:cs="Tahoma"/>
    </w:rPr>
  </w:style>
  <w:style w:type="paragraph" w:styleId="Listeavsnitt">
    <w:name w:val="List Paragraph"/>
    <w:basedOn w:val="Normal"/>
    <w:uiPriority w:val="34"/>
    <w:qFormat/>
    <w:rsid w:val="00F26336"/>
    <w:pPr>
      <w:ind w:left="720"/>
      <w:contextualSpacing/>
    </w:pPr>
    <w:rPr>
      <w:rFonts w:ascii="Calibri" w:eastAsia="Calibri" w:hAnsi="Calibri"/>
      <w:sz w:val="24"/>
      <w:szCs w:val="20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846EE3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846EE3"/>
    <w:rPr>
      <w:rFonts w:ascii="Consolas" w:eastAsia="Calibri" w:hAnsi="Consolas" w:cs="Consolas"/>
      <w:sz w:val="21"/>
      <w:szCs w:val="21"/>
      <w:lang w:eastAsia="en-US"/>
    </w:rPr>
  </w:style>
  <w:style w:type="character" w:styleId="Hyperkobling">
    <w:name w:val="Hyperlink"/>
    <w:uiPriority w:val="99"/>
    <w:unhideWhenUsed/>
    <w:rsid w:val="00A12A54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1B4E3F"/>
    <w:rPr>
      <w:rFonts w:ascii="Arial Narrow" w:hAnsi="Arial Narrow"/>
      <w:sz w:val="28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72E2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172E2"/>
    <w:rPr>
      <w:rFonts w:ascii="Tahoma" w:hAnsi="Tahoma" w:cs="Tahoma"/>
      <w:sz w:val="16"/>
      <w:szCs w:val="16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2372A"/>
    <w:rPr>
      <w:rFonts w:ascii="Calibri" w:eastAsia="Calibri" w:hAnsi="Calibri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semiHidden/>
    <w:rsid w:val="00E2372A"/>
    <w:rPr>
      <w:rFonts w:ascii="Calibri" w:eastAsia="Calibri" w:hAnsi="Calibri"/>
      <w:lang w:eastAsia="en-US"/>
    </w:rPr>
  </w:style>
  <w:style w:type="character" w:styleId="Fotnotereferanse">
    <w:name w:val="footnote reference"/>
    <w:uiPriority w:val="99"/>
    <w:semiHidden/>
    <w:unhideWhenUsed/>
    <w:rsid w:val="00E2372A"/>
    <w:rPr>
      <w:vertAlign w:val="superscript"/>
    </w:rPr>
  </w:style>
  <w:style w:type="character" w:styleId="Utheving">
    <w:name w:val="Emphasis"/>
    <w:uiPriority w:val="20"/>
    <w:qFormat/>
    <w:rsid w:val="00E2372A"/>
    <w:rPr>
      <w:i/>
      <w:iCs/>
    </w:rPr>
  </w:style>
  <w:style w:type="paragraph" w:styleId="HTML-forhndsformatert">
    <w:name w:val="HTML Preformatted"/>
    <w:basedOn w:val="Normal"/>
    <w:link w:val="HTML-forhndsformatertTegn"/>
    <w:rsid w:val="00E23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/>
      <w:color w:val="000000"/>
      <w:sz w:val="12"/>
      <w:szCs w:val="12"/>
    </w:rPr>
  </w:style>
  <w:style w:type="character" w:customStyle="1" w:styleId="HTML-forhndsformatertTegn">
    <w:name w:val="HTML-forhåndsformatert Tegn"/>
    <w:link w:val="HTML-forhndsformatert"/>
    <w:rsid w:val="00E2372A"/>
    <w:rPr>
      <w:rFonts w:ascii="Verdana" w:hAnsi="Verdana" w:cs="Courier New"/>
      <w:color w:val="000000"/>
      <w:sz w:val="12"/>
      <w:szCs w:val="12"/>
    </w:rPr>
  </w:style>
  <w:style w:type="character" w:customStyle="1" w:styleId="Overskrift3Tegn">
    <w:name w:val="Overskrift 3 Tegn"/>
    <w:link w:val="Overskrift3"/>
    <w:uiPriority w:val="9"/>
    <w:rsid w:val="008A1778"/>
    <w:rPr>
      <w:rFonts w:ascii="Arial" w:hAnsi="Arial" w:cs="Arial"/>
      <w:b/>
      <w:bCs/>
      <w:sz w:val="30"/>
      <w:szCs w:val="30"/>
    </w:rPr>
  </w:style>
  <w:style w:type="paragraph" w:customStyle="1" w:styleId="Default">
    <w:name w:val="Default"/>
    <w:rsid w:val="008A177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265FA"/>
    <w:pPr>
      <w:spacing w:before="45" w:after="120"/>
    </w:pPr>
    <w:rPr>
      <w:sz w:val="24"/>
      <w:lang w:eastAsia="zh-CN"/>
    </w:rPr>
  </w:style>
  <w:style w:type="character" w:styleId="Merknadsreferanse">
    <w:name w:val="annotation reference"/>
    <w:uiPriority w:val="99"/>
    <w:semiHidden/>
    <w:unhideWhenUsed/>
    <w:rsid w:val="0001371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1371D"/>
    <w:rPr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1371D"/>
    <w:rPr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371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1371D"/>
    <w:rPr>
      <w:b/>
      <w:bCs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78"/>
    <w:rPr>
      <w:szCs w:val="24"/>
    </w:rPr>
  </w:style>
  <w:style w:type="paragraph" w:styleId="Overskrift3">
    <w:name w:val="heading 3"/>
    <w:basedOn w:val="Normal"/>
    <w:link w:val="Overskrift3Tegn"/>
    <w:uiPriority w:val="9"/>
    <w:qFormat/>
    <w:rsid w:val="008A1778"/>
    <w:pPr>
      <w:spacing w:before="150" w:after="75" w:line="310" w:lineRule="atLeast"/>
      <w:outlineLvl w:val="2"/>
    </w:pPr>
    <w:rPr>
      <w:rFonts w:ascii="Arial" w:hAnsi="Arial"/>
      <w:b/>
      <w:bCs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alvfet">
    <w:name w:val="Halvfet"/>
    <w:basedOn w:val="Normal"/>
    <w:autoRedefine/>
    <w:rsid w:val="00393F76"/>
    <w:pPr>
      <w:tabs>
        <w:tab w:val="num" w:pos="720"/>
      </w:tabs>
    </w:pPr>
    <w:rPr>
      <w:rFonts w:ascii="Concorde BE Regular" w:hAnsi="Concorde BE Regular"/>
      <w:b/>
      <w:bCs/>
    </w:rPr>
  </w:style>
  <w:style w:type="paragraph" w:customStyle="1" w:styleId="Normalminnrykk">
    <w:name w:val="Normal m/innrykk"/>
    <w:basedOn w:val="Normal"/>
    <w:autoRedefine/>
    <w:rsid w:val="00393F76"/>
    <w:pPr>
      <w:ind w:left="170"/>
    </w:pPr>
  </w:style>
  <w:style w:type="paragraph" w:customStyle="1" w:styleId="topp">
    <w:name w:val="topp"/>
    <w:basedOn w:val="Normal"/>
    <w:autoRedefine/>
    <w:rsid w:val="00393F76"/>
    <w:pPr>
      <w:ind w:left="-94"/>
    </w:pPr>
    <w:rPr>
      <w:rFonts w:ascii="Arial" w:hAnsi="Arial" w:cs="Arial"/>
      <w:b/>
      <w:sz w:val="22"/>
    </w:rPr>
  </w:style>
  <w:style w:type="paragraph" w:customStyle="1" w:styleId="Cellbody">
    <w:name w:val="Cellbody"/>
    <w:basedOn w:val="Normal"/>
    <w:autoRedefine/>
    <w:rsid w:val="00393F76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styleId="Topptekst">
    <w:name w:val="header"/>
    <w:basedOn w:val="Normal"/>
    <w:rsid w:val="00393F7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93F76"/>
    <w:pPr>
      <w:tabs>
        <w:tab w:val="center" w:pos="4536"/>
        <w:tab w:val="right" w:pos="9072"/>
      </w:tabs>
    </w:pPr>
    <w:rPr>
      <w:rFonts w:ascii="Arial Narrow" w:hAnsi="Arial Narrow"/>
      <w:sz w:val="28"/>
    </w:rPr>
  </w:style>
  <w:style w:type="paragraph" w:styleId="Dokumentkart">
    <w:name w:val="Document Map"/>
    <w:basedOn w:val="Normal"/>
    <w:semiHidden/>
    <w:rsid w:val="00AA02A7"/>
    <w:pPr>
      <w:shd w:val="clear" w:color="auto" w:fill="000080"/>
    </w:pPr>
    <w:rPr>
      <w:rFonts w:ascii="Tahoma" w:hAnsi="Tahoma" w:cs="Tahoma"/>
    </w:rPr>
  </w:style>
  <w:style w:type="paragraph" w:styleId="Listeavsnitt">
    <w:name w:val="List Paragraph"/>
    <w:basedOn w:val="Normal"/>
    <w:uiPriority w:val="34"/>
    <w:qFormat/>
    <w:rsid w:val="00F26336"/>
    <w:pPr>
      <w:ind w:left="720"/>
      <w:contextualSpacing/>
    </w:pPr>
    <w:rPr>
      <w:rFonts w:ascii="Calibri" w:eastAsia="Calibri" w:hAnsi="Calibri"/>
      <w:sz w:val="24"/>
      <w:szCs w:val="20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846EE3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846EE3"/>
    <w:rPr>
      <w:rFonts w:ascii="Consolas" w:eastAsia="Calibri" w:hAnsi="Consolas" w:cs="Consolas"/>
      <w:sz w:val="21"/>
      <w:szCs w:val="21"/>
      <w:lang w:eastAsia="en-US"/>
    </w:rPr>
  </w:style>
  <w:style w:type="character" w:styleId="Hyperkobling">
    <w:name w:val="Hyperlink"/>
    <w:uiPriority w:val="99"/>
    <w:unhideWhenUsed/>
    <w:rsid w:val="00A12A54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1B4E3F"/>
    <w:rPr>
      <w:rFonts w:ascii="Arial Narrow" w:hAnsi="Arial Narrow"/>
      <w:sz w:val="28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72E2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172E2"/>
    <w:rPr>
      <w:rFonts w:ascii="Tahoma" w:hAnsi="Tahoma" w:cs="Tahoma"/>
      <w:sz w:val="16"/>
      <w:szCs w:val="16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2372A"/>
    <w:rPr>
      <w:rFonts w:ascii="Calibri" w:eastAsia="Calibri" w:hAnsi="Calibri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semiHidden/>
    <w:rsid w:val="00E2372A"/>
    <w:rPr>
      <w:rFonts w:ascii="Calibri" w:eastAsia="Calibri" w:hAnsi="Calibri"/>
      <w:lang w:eastAsia="en-US"/>
    </w:rPr>
  </w:style>
  <w:style w:type="character" w:styleId="Fotnotereferanse">
    <w:name w:val="footnote reference"/>
    <w:uiPriority w:val="99"/>
    <w:semiHidden/>
    <w:unhideWhenUsed/>
    <w:rsid w:val="00E2372A"/>
    <w:rPr>
      <w:vertAlign w:val="superscript"/>
    </w:rPr>
  </w:style>
  <w:style w:type="character" w:styleId="Utheving">
    <w:name w:val="Emphasis"/>
    <w:uiPriority w:val="20"/>
    <w:qFormat/>
    <w:rsid w:val="00E2372A"/>
    <w:rPr>
      <w:i/>
      <w:iCs/>
    </w:rPr>
  </w:style>
  <w:style w:type="paragraph" w:styleId="HTML-forhndsformatert">
    <w:name w:val="HTML Preformatted"/>
    <w:basedOn w:val="Normal"/>
    <w:link w:val="HTML-forhndsformatertTegn"/>
    <w:rsid w:val="00E23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/>
      <w:color w:val="000000"/>
      <w:sz w:val="12"/>
      <w:szCs w:val="12"/>
    </w:rPr>
  </w:style>
  <w:style w:type="character" w:customStyle="1" w:styleId="HTML-forhndsformatertTegn">
    <w:name w:val="HTML-forhåndsformatert Tegn"/>
    <w:link w:val="HTML-forhndsformatert"/>
    <w:rsid w:val="00E2372A"/>
    <w:rPr>
      <w:rFonts w:ascii="Verdana" w:hAnsi="Verdana" w:cs="Courier New"/>
      <w:color w:val="000000"/>
      <w:sz w:val="12"/>
      <w:szCs w:val="12"/>
    </w:rPr>
  </w:style>
  <w:style w:type="character" w:customStyle="1" w:styleId="Overskrift3Tegn">
    <w:name w:val="Overskrift 3 Tegn"/>
    <w:link w:val="Overskrift3"/>
    <w:uiPriority w:val="9"/>
    <w:rsid w:val="008A1778"/>
    <w:rPr>
      <w:rFonts w:ascii="Arial" w:hAnsi="Arial" w:cs="Arial"/>
      <w:b/>
      <w:bCs/>
      <w:sz w:val="30"/>
      <w:szCs w:val="30"/>
    </w:rPr>
  </w:style>
  <w:style w:type="paragraph" w:customStyle="1" w:styleId="Default">
    <w:name w:val="Default"/>
    <w:rsid w:val="008A177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265FA"/>
    <w:pPr>
      <w:spacing w:before="45" w:after="120"/>
    </w:pPr>
    <w:rPr>
      <w:sz w:val="24"/>
      <w:lang w:eastAsia="zh-CN"/>
    </w:rPr>
  </w:style>
  <w:style w:type="character" w:styleId="Merknadsreferanse">
    <w:name w:val="annotation reference"/>
    <w:uiPriority w:val="99"/>
    <w:semiHidden/>
    <w:unhideWhenUsed/>
    <w:rsid w:val="0001371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1371D"/>
    <w:rPr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1371D"/>
    <w:rPr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371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1371D"/>
    <w:rPr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2082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  <w:divsChild>
                <w:div w:id="111754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792">
                      <w:marLeft w:val="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</w:div>
                  </w:divsChild>
                </w:div>
              </w:divsChild>
            </w:div>
          </w:divsChild>
        </w:div>
      </w:divsChild>
    </w:div>
    <w:div w:id="1239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0758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  <w:divsChild>
                <w:div w:id="16131263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1546">
                      <w:marLeft w:val="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</w:div>
                  </w:divsChild>
                </w:div>
              </w:divsChild>
            </w:div>
          </w:divsChild>
        </w:div>
      </w:divsChild>
    </w:div>
    <w:div w:id="1643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8532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  <w:divsChild>
                <w:div w:id="51471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2167">
                      <w:marLeft w:val="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FAF7-DF39-4A5A-A726-92DB1441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2190</Words>
  <Characters>12993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GAN GRAFISK</Company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teisk</dc:creator>
  <cp:lastModifiedBy>Teis Daniel Kjelling</cp:lastModifiedBy>
  <cp:revision>4</cp:revision>
  <cp:lastPrinted>2011-03-21T18:35:00Z</cp:lastPrinted>
  <dcterms:created xsi:type="dcterms:W3CDTF">2011-05-19T14:55:00Z</dcterms:created>
  <dcterms:modified xsi:type="dcterms:W3CDTF">2011-05-20T09:55:00Z</dcterms:modified>
</cp:coreProperties>
</file>